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CHỌN CHIẾN LƯỢC PHÂN RÃ EPIC “HỦY CHUYẾN GHÉP”</w:t>
      </w:r>
    </w:p>
    <w:p>
      <w:r>
        <w:rPr>
          <w:b/>
          <w:sz w:val="28"/>
        </w:rPr>
        <w:t>PHẦN 1 – ĐỀ XUẤT 2 CHIẾN LƯỢC PHÂN RÃ</w:t>
      </w:r>
    </w:p>
    <w:p>
      <w:r>
        <w:rPr>
          <w:b/>
        </w:rPr>
        <w:t>Chiến lược 1: Phân rã theo vai trò người dùng</w:t>
      </w:r>
    </w:p>
    <w:p>
      <w:pPr>
        <w:pStyle w:val="ListBullet"/>
        <w:spacing w:after="60"/>
      </w:pPr>
      <w:r>
        <w:t>Feature 1: Khách hủy chuyến ghép.</w:t>
      </w:r>
    </w:p>
    <w:p>
      <w:pPr>
        <w:pStyle w:val="ListBullet"/>
        <w:spacing w:after="60"/>
      </w:pPr>
      <w:r>
        <w:t>Feature 2: Hệ thống xử lý phí hủy cho khách.</w:t>
      </w:r>
    </w:p>
    <w:p>
      <w:pPr>
        <w:pStyle w:val="ListBullet"/>
        <w:spacing w:after="60"/>
      </w:pPr>
      <w:r>
        <w:t>Feature 3: Hệ thống cập nhật lại giá cho các khách còn lại.</w:t>
      </w:r>
    </w:p>
    <w:p>
      <w:r>
        <w:t>Cách này chia công việc dựa vào những việc mà từng người dùng/hệ thống cần thực hiện.</w:t>
      </w:r>
    </w:p>
    <w:p>
      <w:r>
        <w:rPr>
          <w:b/>
        </w:rPr>
        <w:t>Chiến lược 2: Phân rã theo quy trình hủy chuyến</w:t>
      </w:r>
    </w:p>
    <w:p>
      <w:pPr>
        <w:pStyle w:val="ListBullet"/>
        <w:spacing w:after="60"/>
      </w:pPr>
      <w:r>
        <w:t>Feature 1: Hủy chuyến trước khi tài xế nhận.</w:t>
      </w:r>
    </w:p>
    <w:p>
      <w:pPr>
        <w:pStyle w:val="ListBullet"/>
        <w:spacing w:after="60"/>
      </w:pPr>
      <w:r>
        <w:t>Feature 2: Hủy chuyến sau khi tài xế nhận.</w:t>
      </w:r>
    </w:p>
    <w:p>
      <w:pPr>
        <w:pStyle w:val="ListBullet"/>
        <w:spacing w:after="60"/>
      </w:pPr>
      <w:r>
        <w:t>Feature 3: Cập nhật lại giá và thông báo cho khách còn lại.</w:t>
      </w:r>
    </w:p>
    <w:p>
      <w:r>
        <w:t>Cách này chia theo từng trường hợp xảy ra trong quá trình hủy chuyến.</w:t>
      </w:r>
    </w:p>
    <w:p>
      <w:r>
        <w:rPr>
          <w:b/>
          <w:sz w:val="28"/>
        </w:rPr>
        <w:t>PHẦN 2 – SO SÁNH 2 CHIẾN LƯỢC</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rFonts w:ascii="Times New Roman" w:hAnsi="Times New Roman" w:eastAsia="Times New Roman"/>
                <w:sz w:val="22"/>
              </w:rPr>
              <w:t>Tiêu chí</w:t>
            </w:r>
          </w:p>
        </w:tc>
        <w:tc>
          <w:tcPr>
            <w:tcW w:type="dxa" w:w="3230"/>
            <w:vAlign w:val="center"/>
          </w:tcPr>
          <w:p>
            <w:pPr>
              <w:spacing w:after="0"/>
            </w:pPr>
            <w:r>
              <w:rPr>
                <w:rFonts w:ascii="Times New Roman" w:hAnsi="Times New Roman" w:eastAsia="Times New Roman"/>
                <w:sz w:val="22"/>
              </w:rPr>
              <w:t>Chiến lược 1 – Theo vai trò</w:t>
            </w:r>
          </w:p>
        </w:tc>
        <w:tc>
          <w:tcPr>
            <w:tcW w:type="dxa" w:w="3230"/>
            <w:vAlign w:val="center"/>
          </w:tcPr>
          <w:p>
            <w:pPr>
              <w:spacing w:after="0"/>
            </w:pPr>
            <w:r>
              <w:rPr>
                <w:rFonts w:ascii="Times New Roman" w:hAnsi="Times New Roman" w:eastAsia="Times New Roman"/>
                <w:sz w:val="22"/>
              </w:rPr>
              <w:t>Chiến lược 2 – Theo quy trình</w:t>
            </w:r>
          </w:p>
        </w:tc>
      </w:tr>
      <w:tr>
        <w:tc>
          <w:tcPr>
            <w:tcW w:type="dxa" w:w="3230"/>
            <w:vAlign w:val="center"/>
          </w:tcPr>
          <w:p>
            <w:pPr>
              <w:spacing w:after="0"/>
            </w:pPr>
            <w:r>
              <w:rPr>
                <w:rFonts w:ascii="Times New Roman" w:hAnsi="Times New Roman" w:eastAsia="Times New Roman"/>
                <w:sz w:val="22"/>
              </w:rPr>
              <w:t>Independent</w:t>
            </w:r>
          </w:p>
        </w:tc>
        <w:tc>
          <w:tcPr>
            <w:tcW w:type="dxa" w:w="3230"/>
            <w:vAlign w:val="center"/>
          </w:tcPr>
          <w:p>
            <w:pPr>
              <w:spacing w:after="0"/>
            </w:pPr>
            <w:r>
              <w:rPr>
                <w:rFonts w:ascii="Times New Roman" w:hAnsi="Times New Roman" w:eastAsia="Times New Roman"/>
                <w:sz w:val="22"/>
              </w:rPr>
              <w:t>(+) Các Feature tương đối tách biệt vì mỗi Feature xử lý một việc khác nhau.</w:t>
            </w:r>
          </w:p>
        </w:tc>
        <w:tc>
          <w:tcPr>
            <w:tcW w:type="dxa" w:w="3230"/>
            <w:vAlign w:val="center"/>
          </w:tcPr>
          <w:p>
            <w:pPr>
              <w:spacing w:after="0"/>
            </w:pPr>
            <w:r>
              <w:rPr>
                <w:rFonts w:ascii="Times New Roman" w:hAnsi="Times New Roman" w:eastAsia="Times New Roman"/>
                <w:sz w:val="22"/>
              </w:rPr>
              <w:t>(–) Các Feature phụ thuộc vào trạng thái của chuyến, ví dụ phải biết tài xế đã nhận hay chưa.</w:t>
            </w:r>
          </w:p>
        </w:tc>
      </w:tr>
      <w:tr>
        <w:tc>
          <w:tcPr>
            <w:tcW w:type="dxa" w:w="3230"/>
            <w:vAlign w:val="center"/>
          </w:tcPr>
          <w:p>
            <w:pPr>
              <w:spacing w:after="0"/>
            </w:pPr>
            <w:r>
              <w:rPr>
                <w:rFonts w:ascii="Times New Roman" w:hAnsi="Times New Roman" w:eastAsia="Times New Roman"/>
                <w:sz w:val="22"/>
              </w:rPr>
              <w:t>Small</w:t>
            </w:r>
          </w:p>
        </w:tc>
        <w:tc>
          <w:tcPr>
            <w:tcW w:type="dxa" w:w="3230"/>
            <w:vAlign w:val="center"/>
          </w:tcPr>
          <w:p>
            <w:pPr>
              <w:spacing w:after="0"/>
            </w:pPr>
            <w:r>
              <w:rPr>
                <w:rFonts w:ascii="Times New Roman" w:hAnsi="Times New Roman" w:eastAsia="Times New Roman"/>
                <w:sz w:val="22"/>
              </w:rPr>
              <w:t>(+) Mỗi Feature có phạm vi khá nhỏ, có thể chia cho từng nhóm làm.</w:t>
            </w:r>
          </w:p>
        </w:tc>
        <w:tc>
          <w:tcPr>
            <w:tcW w:type="dxa" w:w="3230"/>
            <w:vAlign w:val="center"/>
          </w:tcPr>
          <w:p>
            <w:pPr>
              <w:spacing w:after="0"/>
            </w:pPr>
            <w:r>
              <w:rPr>
                <w:rFonts w:ascii="Times New Roman" w:hAnsi="Times New Roman" w:eastAsia="Times New Roman"/>
                <w:sz w:val="22"/>
              </w:rPr>
              <w:t>(+) Mỗi trường hợp hủy có phạm vi rõ nên dễ đưa vào Sprint.</w:t>
            </w:r>
          </w:p>
        </w:tc>
      </w:tr>
      <w:tr>
        <w:tc>
          <w:tcPr>
            <w:tcW w:type="dxa" w:w="3230"/>
            <w:vAlign w:val="center"/>
          </w:tcPr>
          <w:p>
            <w:pPr>
              <w:spacing w:after="0"/>
            </w:pPr>
            <w:r>
              <w:rPr>
                <w:rFonts w:ascii="Times New Roman" w:hAnsi="Times New Roman" w:eastAsia="Times New Roman"/>
                <w:sz w:val="22"/>
              </w:rPr>
              <w:t>Valuable</w:t>
            </w:r>
          </w:p>
        </w:tc>
        <w:tc>
          <w:tcPr>
            <w:tcW w:type="dxa" w:w="3230"/>
            <w:vAlign w:val="center"/>
          </w:tcPr>
          <w:p>
            <w:pPr>
              <w:spacing w:after="0"/>
            </w:pPr>
            <w:r>
              <w:rPr>
                <w:rFonts w:ascii="Times New Roman" w:hAnsi="Times New Roman" w:eastAsia="Times New Roman"/>
                <w:sz w:val="22"/>
              </w:rPr>
              <w:t>(–) Một số Feature như tính phí hoặc cập nhật giá nếu đứng riêng thì chưa tạo ra nhiều giá trị cho khách.</w:t>
            </w:r>
          </w:p>
        </w:tc>
        <w:tc>
          <w:tcPr>
            <w:tcW w:type="dxa" w:w="3230"/>
            <w:vAlign w:val="center"/>
          </w:tcPr>
          <w:p>
            <w:pPr>
              <w:spacing w:after="0"/>
            </w:pPr>
            <w:r>
              <w:rPr>
                <w:rFonts w:ascii="Times New Roman" w:hAnsi="Times New Roman" w:eastAsia="Times New Roman"/>
                <w:sz w:val="22"/>
              </w:rPr>
              <w:t>(+) Mỗi Feature đều gắn với một trường hợp thực tế mà khách cần khi hủy chuyến.</w:t>
            </w:r>
          </w:p>
        </w:tc>
      </w:tr>
    </w:tbl>
    <w:p>
      <w:r>
        <w:rPr>
          <w:b/>
          <w:sz w:val="28"/>
        </w:rPr>
        <w:t>PHẦN 3 – LỰA CHỌN VÀ ĐẶC TẢ</w:t>
      </w:r>
    </w:p>
    <w:p>
      <w:r>
        <w:rPr>
          <w:b/>
        </w:rPr>
        <w:t>Chiến lược được chọn: Phân rã theo quy trình hủy chuyến</w:t>
      </w:r>
    </w:p>
    <w:p>
      <w:r>
        <w:t>Em chọn chiến lược này vì các trường hợp hủy trước và sau khi tài xế nhận chuyến có cách xử lý khác nhau. Chia theo quy trình sẽ dễ hiểu và dễ kiểm tra kết quả hơn.</w:t>
      </w:r>
    </w:p>
    <w:p>
      <w:r>
        <w:rPr>
          <w:b/>
        </w:rPr>
        <w:t>User Story</w:t>
      </w:r>
    </w:p>
    <w:p>
      <w:pPr>
        <w:ind w:left="283"/>
      </w:pPr>
      <w:r>
        <w:rPr>
          <w:b/>
        </w:rPr>
        <w:t xml:space="preserve">As a </w:t>
      </w:r>
      <w:r>
        <w:t>khách đặt xe ghép</w:t>
      </w:r>
      <w:r>
        <w:t>,</w:t>
        <w:br/>
      </w:r>
      <w:r>
        <w:rPr>
          <w:b/>
        </w:rPr>
        <w:t xml:space="preserve">I want </w:t>
      </w:r>
      <w:r>
        <w:t>hủy chuyến và được hệ thống tính phí dựa trên thời điểm tài xế nhận chuyến</w:t>
      </w:r>
      <w:r>
        <w:t>,</w:t>
        <w:br/>
      </w:r>
      <w:r>
        <w:rPr>
          <w:b/>
        </w:rPr>
        <w:t xml:space="preserve">So that </w:t>
      </w:r>
      <w:r>
        <w:t>tôi biết mình có được miễn phí hay phải trả phí hủy.</w:t>
      </w:r>
      <w:r>
        <w:t>.</w:t>
      </w:r>
    </w:p>
    <w:p>
      <w:r>
        <w:rPr>
          <w:b/>
        </w:rPr>
        <w:t>Acceptance Criteria – Hủy đúng lúc tài xế nhận chuyến</w:t>
      </w:r>
    </w:p>
    <w:p>
      <w:pPr>
        <w:ind w:left="283"/>
      </w:pPr>
      <w:r>
        <w:rPr>
          <w:b/>
        </w:rPr>
        <w:t xml:space="preserve">Given: </w:t>
      </w:r>
      <w:r>
        <w:t>Khách đang có chuyến ghép và đồng thời khách bấm hủy trong lúc tài xế vừa bấm nhận chuyến.</w:t>
      </w:r>
    </w:p>
    <w:p>
      <w:pPr>
        <w:ind w:left="283"/>
      </w:pPr>
      <w:r>
        <w:rPr>
          <w:b/>
        </w:rPr>
        <w:t xml:space="preserve">When: </w:t>
      </w:r>
      <w:r>
        <w:t>Hệ thống ghi nhận yêu cầu hủy và thời điểm tài xế nhận chuyến trên máy chủ.</w:t>
      </w:r>
    </w:p>
    <w:p>
      <w:pPr>
        <w:ind w:left="283"/>
      </w:pPr>
      <w:r>
        <w:rPr>
          <w:b/>
        </w:rPr>
        <w:t xml:space="preserve">Then: </w:t>
      </w:r>
      <w:r>
        <w:t>Hệ thống lấy thời điểm ghi nhận trên máy chủ để xác định trạng thái. Nếu tài xế đã được ghi nhận nhận chuyến trước thời điểm hủy thì khách phải trả 10.000đ phí hủy; nếu yêu cầu hủy được ghi nhận trước thì khách được hủy miễn phí.</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