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BÀI TẬP VẬN DỤNG CHUYÊN SÂU – 3</w:t>
      </w:r>
    </w:p>
    <w:p>
      <w:pPr>
        <w:jc w:val="center"/>
      </w:pPr>
      <w:r>
        <w:rPr>
          <w:rFonts w:ascii="Times New Roman" w:hAnsi="Times New Roman"/>
          <w:b/>
          <w:sz w:val="30"/>
        </w:rPr>
        <w:t>LẬP KẾ HOẠCH SPRINT 5 CHO CHỨC NĂNG VÍ RIKKEIPAY</w:t>
      </w:r>
    </w:p>
    <w:p>
      <w:pPr>
        <w:pStyle w:val="Heading1"/>
      </w:pPr>
      <w:r>
        <w:t>PHẦN 1. PHÂN TÍCH PLANNING CAPACITY VÀ VELOCITY</w:t>
      </w:r>
    </w:p>
    <w:p>
      <w:pPr>
        <w:pStyle w:val="Heading2"/>
      </w:pPr>
      <w:r>
        <w:t>1.1. Tính Planning Capacity</w:t>
      </w:r>
    </w:p>
    <w:p>
      <w:r>
        <w:t>Công thức: Planning Capacity = Ngày khả dụng × Giờ tập trung/ngày − Việc cố định.</w:t>
      </w:r>
    </w:p>
    <w:p>
      <w:r>
        <w:t>Hà báo nghỉ 2 ngày trước Sprint Planning nên ngày khả dụng của Hà giảm từ 10 ngày xuống còn 8 ngày.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jc w:val="center"/>
            </w:pPr>
            <w:r>
              <w:rPr>
                <w:b/>
              </w:rPr>
            </w:r>
            <w:r>
              <w:rPr>
                <w:rFonts w:ascii="Times New Roman" w:hAnsi="Times New Roman" w:eastAsia="Times New Roman"/>
                <w:b/>
                <w:sz w:val="21"/>
              </w:rPr>
              <w:t>Developer</w:t>
            </w:r>
          </w:p>
        </w:tc>
        <w:tc>
          <w:tcPr>
            <w:tcW w:type="dxa" w:w="3312"/>
            <w:vAlign w:val="center"/>
            <w:shd w:fill="D9EAF7"/>
          </w:tcPr>
          <w:p>
            <w:pPr>
              <w:spacing w:after="0"/>
              <w:jc w:val="center"/>
            </w:pPr>
            <w:r>
              <w:rPr>
                <w:b/>
              </w:rPr>
            </w:r>
            <w:r>
              <w:rPr>
                <w:rFonts w:ascii="Times New Roman" w:hAnsi="Times New Roman" w:eastAsia="Times New Roman"/>
                <w:b/>
                <w:sz w:val="21"/>
              </w:rPr>
              <w:t>Phép tính</w:t>
            </w:r>
          </w:p>
        </w:tc>
        <w:tc>
          <w:tcPr>
            <w:tcW w:type="dxa" w:w="3312"/>
            <w:vAlign w:val="center"/>
            <w:shd w:fill="D9EAF7"/>
          </w:tcPr>
          <w:p>
            <w:pPr>
              <w:spacing w:after="0"/>
              <w:jc w:val="center"/>
            </w:pPr>
            <w:r>
              <w:rPr>
                <w:b/>
              </w:rPr>
            </w:r>
            <w:r>
              <w:rPr>
                <w:rFonts w:ascii="Times New Roman" w:hAnsi="Times New Roman" w:eastAsia="Times New Roman"/>
                <w:b/>
                <w:sz w:val="21"/>
              </w:rPr>
              <w:t>Planning Capacity</w:t>
            </w:r>
          </w:p>
        </w:tc>
      </w:tr>
      <w:tr>
        <w:tc>
          <w:tcPr>
            <w:tcW w:type="dxa" w:w="3312"/>
            <w:vAlign w:val="center"/>
          </w:tcPr>
          <w:p>
            <w:pPr>
              <w:spacing w:after="0"/>
            </w:pPr>
            <w:r/>
            <w:r>
              <w:rPr>
                <w:rFonts w:ascii="Times New Roman" w:hAnsi="Times New Roman" w:eastAsia="Times New Roman"/>
                <w:b w:val="0"/>
                <w:sz w:val="21"/>
              </w:rPr>
              <w:t>Tú</w:t>
            </w:r>
          </w:p>
        </w:tc>
        <w:tc>
          <w:tcPr>
            <w:tcW w:type="dxa" w:w="3312"/>
            <w:vAlign w:val="center"/>
          </w:tcPr>
          <w:p>
            <w:pPr>
              <w:spacing w:after="0"/>
              <w:jc w:val="center"/>
            </w:pPr>
            <w:r/>
            <w:r>
              <w:rPr>
                <w:rFonts w:ascii="Times New Roman" w:hAnsi="Times New Roman" w:eastAsia="Times New Roman"/>
                <w:b w:val="0"/>
                <w:sz w:val="21"/>
              </w:rPr>
              <w:t>10 × 6 − 6</w:t>
            </w:r>
          </w:p>
        </w:tc>
        <w:tc>
          <w:tcPr>
            <w:tcW w:type="dxa" w:w="3312"/>
            <w:vAlign w:val="center"/>
          </w:tcPr>
          <w:p>
            <w:pPr>
              <w:spacing w:after="0"/>
              <w:jc w:val="center"/>
            </w:pPr>
            <w:r/>
            <w:r>
              <w:rPr>
                <w:rFonts w:ascii="Times New Roman" w:hAnsi="Times New Roman" w:eastAsia="Times New Roman"/>
                <w:b w:val="0"/>
                <w:sz w:val="21"/>
              </w:rPr>
              <w:t>54 giờ</w:t>
            </w:r>
          </w:p>
        </w:tc>
      </w:tr>
      <w:tr>
        <w:tc>
          <w:tcPr>
            <w:tcW w:type="dxa" w:w="3312"/>
            <w:vAlign w:val="center"/>
          </w:tcPr>
          <w:p>
            <w:pPr>
              <w:spacing w:after="0"/>
            </w:pPr>
            <w:r/>
            <w:r>
              <w:rPr>
                <w:rFonts w:ascii="Times New Roman" w:hAnsi="Times New Roman" w:eastAsia="Times New Roman"/>
                <w:b w:val="0"/>
                <w:sz w:val="21"/>
              </w:rPr>
              <w:t>Vy</w:t>
            </w:r>
          </w:p>
        </w:tc>
        <w:tc>
          <w:tcPr>
            <w:tcW w:type="dxa" w:w="3312"/>
            <w:vAlign w:val="center"/>
          </w:tcPr>
          <w:p>
            <w:pPr>
              <w:spacing w:after="0"/>
              <w:jc w:val="center"/>
            </w:pPr>
            <w:r/>
            <w:r>
              <w:rPr>
                <w:rFonts w:ascii="Times New Roman" w:hAnsi="Times New Roman" w:eastAsia="Times New Roman"/>
                <w:b w:val="0"/>
                <w:sz w:val="21"/>
              </w:rPr>
              <w:t>10 × 6 − 0</w:t>
            </w:r>
          </w:p>
        </w:tc>
        <w:tc>
          <w:tcPr>
            <w:tcW w:type="dxa" w:w="3312"/>
            <w:vAlign w:val="center"/>
          </w:tcPr>
          <w:p>
            <w:pPr>
              <w:spacing w:after="0"/>
              <w:jc w:val="center"/>
            </w:pPr>
            <w:r/>
            <w:r>
              <w:rPr>
                <w:rFonts w:ascii="Times New Roman" w:hAnsi="Times New Roman" w:eastAsia="Times New Roman"/>
                <w:b w:val="0"/>
                <w:sz w:val="21"/>
              </w:rPr>
              <w:t>60 giờ</w:t>
            </w:r>
          </w:p>
        </w:tc>
      </w:tr>
      <w:tr>
        <w:tc>
          <w:tcPr>
            <w:tcW w:type="dxa" w:w="3312"/>
            <w:vAlign w:val="center"/>
          </w:tcPr>
          <w:p>
            <w:pPr>
              <w:spacing w:after="0"/>
            </w:pPr>
            <w:r/>
            <w:r>
              <w:rPr>
                <w:rFonts w:ascii="Times New Roman" w:hAnsi="Times New Roman" w:eastAsia="Times New Roman"/>
                <w:b w:val="0"/>
                <w:sz w:val="21"/>
              </w:rPr>
              <w:t>Khoa</w:t>
            </w:r>
          </w:p>
        </w:tc>
        <w:tc>
          <w:tcPr>
            <w:tcW w:type="dxa" w:w="3312"/>
            <w:vAlign w:val="center"/>
          </w:tcPr>
          <w:p>
            <w:pPr>
              <w:spacing w:after="0"/>
              <w:jc w:val="center"/>
            </w:pPr>
            <w:r/>
            <w:r>
              <w:rPr>
                <w:rFonts w:ascii="Times New Roman" w:hAnsi="Times New Roman" w:eastAsia="Times New Roman"/>
                <w:b w:val="0"/>
                <w:sz w:val="21"/>
              </w:rPr>
              <w:t>9 × 6 − 4</w:t>
            </w:r>
          </w:p>
        </w:tc>
        <w:tc>
          <w:tcPr>
            <w:tcW w:type="dxa" w:w="3312"/>
            <w:vAlign w:val="center"/>
          </w:tcPr>
          <w:p>
            <w:pPr>
              <w:spacing w:after="0"/>
              <w:jc w:val="center"/>
            </w:pPr>
            <w:r/>
            <w:r>
              <w:rPr>
                <w:rFonts w:ascii="Times New Roman" w:hAnsi="Times New Roman" w:eastAsia="Times New Roman"/>
                <w:b w:val="0"/>
                <w:sz w:val="21"/>
              </w:rPr>
              <w:t>50 giờ</w:t>
            </w:r>
          </w:p>
        </w:tc>
      </w:tr>
      <w:tr>
        <w:tc>
          <w:tcPr>
            <w:tcW w:type="dxa" w:w="3312"/>
            <w:vAlign w:val="center"/>
          </w:tcPr>
          <w:p>
            <w:pPr>
              <w:spacing w:after="0"/>
            </w:pPr>
            <w:r/>
            <w:r>
              <w:rPr>
                <w:rFonts w:ascii="Times New Roman" w:hAnsi="Times New Roman" w:eastAsia="Times New Roman"/>
                <w:b w:val="0"/>
                <w:sz w:val="21"/>
              </w:rPr>
              <w:t>Hà</w:t>
            </w:r>
          </w:p>
        </w:tc>
        <w:tc>
          <w:tcPr>
            <w:tcW w:type="dxa" w:w="3312"/>
            <w:vAlign w:val="center"/>
          </w:tcPr>
          <w:p>
            <w:pPr>
              <w:spacing w:after="0"/>
              <w:jc w:val="center"/>
            </w:pPr>
            <w:r/>
            <w:r>
              <w:rPr>
                <w:rFonts w:ascii="Times New Roman" w:hAnsi="Times New Roman" w:eastAsia="Times New Roman"/>
                <w:b w:val="0"/>
                <w:sz w:val="21"/>
              </w:rPr>
              <w:t>8 × 6 − 0</w:t>
            </w:r>
          </w:p>
        </w:tc>
        <w:tc>
          <w:tcPr>
            <w:tcW w:type="dxa" w:w="3312"/>
            <w:vAlign w:val="center"/>
          </w:tcPr>
          <w:p>
            <w:pPr>
              <w:spacing w:after="0"/>
              <w:jc w:val="center"/>
            </w:pPr>
            <w:r/>
            <w:r>
              <w:rPr>
                <w:rFonts w:ascii="Times New Roman" w:hAnsi="Times New Roman" w:eastAsia="Times New Roman"/>
                <w:b w:val="0"/>
                <w:sz w:val="21"/>
              </w:rPr>
              <w:t>48 giờ</w:t>
            </w:r>
          </w:p>
        </w:tc>
      </w:tr>
      <w:tr>
        <w:tc>
          <w:tcPr>
            <w:tcW w:type="dxa" w:w="3312"/>
            <w:vAlign w:val="center"/>
          </w:tcPr>
          <w:p>
            <w:pPr>
              <w:spacing w:after="0"/>
            </w:pPr>
            <w:r/>
            <w:r>
              <w:rPr>
                <w:rFonts w:ascii="Times New Roman" w:hAnsi="Times New Roman" w:eastAsia="Times New Roman"/>
                <w:b/>
                <w:sz w:val="21"/>
              </w:rPr>
              <w:t>Tổng</w:t>
            </w:r>
          </w:p>
        </w:tc>
        <w:tc>
          <w:tcPr>
            <w:tcW w:type="dxa" w:w="3312"/>
            <w:vAlign w:val="center"/>
          </w:tcPr>
          <w:p>
            <w:pPr>
              <w:spacing w:after="0"/>
              <w:jc w:val="center"/>
            </w:pPr>
            <w:r/>
            <w:r>
              <w:rPr>
                <w:rFonts w:ascii="Times New Roman" w:hAnsi="Times New Roman" w:eastAsia="Times New Roman"/>
                <w:b/>
                <w:sz w:val="21"/>
              </w:rPr>
              <w:t>54 + 60 + 50 + 48</w:t>
            </w:r>
          </w:p>
        </w:tc>
        <w:tc>
          <w:tcPr>
            <w:tcW w:type="dxa" w:w="3312"/>
            <w:vAlign w:val="center"/>
          </w:tcPr>
          <w:p>
            <w:pPr>
              <w:spacing w:after="0"/>
              <w:jc w:val="center"/>
            </w:pPr>
            <w:r/>
            <w:r>
              <w:rPr>
                <w:rFonts w:ascii="Times New Roman" w:hAnsi="Times New Roman" w:eastAsia="Times New Roman"/>
                <w:b/>
                <w:sz w:val="21"/>
              </w:rPr>
              <w:t>212 giờ</w:t>
            </w:r>
          </w:p>
        </w:tc>
      </w:tr>
    </w:tbl>
    <w:p>
      <w:r>
        <w:t>Kết quả: Planning Capacity của cả đội trong Sprint 5 là 212 giờ tập trung.</w:t>
      </w:r>
    </w:p>
    <w:p>
      <w:pPr>
        <w:pStyle w:val="Heading2"/>
      </w:pPr>
      <w:r>
        <w:t>1.2. Dự báo Velocity</w:t>
      </w:r>
    </w:p>
    <w:p>
      <w:r>
        <w:t>Velocity của 4 Sprint gần nhất lần lượt là 18, 20, 19 và 15 SP.</w:t>
      </w:r>
    </w:p>
    <w:p>
      <w:r>
        <w:t>Velocity trung bình = (18 + 20 + 19 + 15) / 4 = 18 SP.</w:t>
      </w:r>
    </w:p>
    <w:p>
      <w:r>
        <w:t>Velocity thấp nhất là 15 SP, cao nhất là 20 SP. Vì vậy, khoảng Velocity dùng để dự báo là 15–20 SP, với mức trung bình 18 SP.</w:t>
      </w:r>
    </w:p>
    <w:p>
      <w:r>
        <w:t>Do Hà nghỉ 2 ngày và Capacity của đội giảm, nhóm cần thận trọng khi chọn phạm vi Sprint. Velocity chỉ dùng để tham khảo, không phải chỉ tiêu bắt buộc. Không quy đổi Story Point sang giờ.</w:t>
      </w:r>
    </w:p>
    <w:p>
      <w:pPr>
        <w:pStyle w:val="Heading1"/>
      </w:pPr>
      <w:r>
        <w:t>PHẦN 2. THIẾT KẾ SPRINT GOAL VÀ LỰA CHỌN PBI</w:t>
      </w:r>
    </w:p>
    <w:p>
      <w:pPr>
        <w:pStyle w:val="Heading2"/>
      </w:pPr>
      <w:r>
        <w:t>2.1. Sprint Goal</w:t>
      </w:r>
    </w:p>
    <w:p>
      <w:r>
        <w:rPr>
          <w:b/>
        </w:rPr>
        <w:t>Giúp khách hàng thanh toán chuyến đi bằng ví RikkeiPay ổn định hơn và biết rõ tiền hoàn về ví khi chuyến đi bị hủy.</w:t>
      </w:r>
    </w:p>
    <w:p>
      <w:r>
        <w:t>Sprint Goal tập trung giải quyết hai vấn đề khách hàng đang phàn nàn: thanh toán bằng ví còn lỗi và không biết tiền đã được hoàn hay chưa.</w:t>
      </w:r>
    </w:p>
    <w:p>
      <w:pPr>
        <w:pStyle w:val="Heading2"/>
      </w:pPr>
      <w:r>
        <w:t>2.2. Các PBI được chọn vào Sprint 5</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spacing w:after="0"/>
              <w:jc w:val="center"/>
            </w:pPr>
            <w:r>
              <w:rPr>
                <w:b/>
              </w:rPr>
            </w:r>
            <w:r>
              <w:rPr>
                <w:rFonts w:ascii="Times New Roman" w:hAnsi="Times New Roman" w:eastAsia="Times New Roman"/>
                <w:b/>
                <w:sz w:val="21"/>
              </w:rPr>
              <w:t>PBI</w:t>
            </w:r>
          </w:p>
        </w:tc>
        <w:tc>
          <w:tcPr>
            <w:tcW w:type="dxa" w:w="2484"/>
            <w:vAlign w:val="center"/>
            <w:shd w:fill="D9EAF7"/>
          </w:tcPr>
          <w:p>
            <w:pPr>
              <w:spacing w:after="0"/>
              <w:jc w:val="center"/>
            </w:pPr>
            <w:r>
              <w:rPr>
                <w:b/>
              </w:rPr>
            </w:r>
            <w:r>
              <w:rPr>
                <w:rFonts w:ascii="Times New Roman" w:hAnsi="Times New Roman" w:eastAsia="Times New Roman"/>
                <w:b/>
                <w:sz w:val="21"/>
              </w:rPr>
              <w:t>Nội dung</w:t>
            </w:r>
          </w:p>
        </w:tc>
        <w:tc>
          <w:tcPr>
            <w:tcW w:type="dxa" w:w="2484"/>
            <w:vAlign w:val="center"/>
            <w:shd w:fill="D9EAF7"/>
          </w:tcPr>
          <w:p>
            <w:pPr>
              <w:spacing w:after="0"/>
              <w:jc w:val="center"/>
            </w:pPr>
            <w:r>
              <w:rPr>
                <w:b/>
              </w:rPr>
            </w:r>
            <w:r>
              <w:rPr>
                <w:rFonts w:ascii="Times New Roman" w:hAnsi="Times New Roman" w:eastAsia="Times New Roman"/>
                <w:b/>
                <w:sz w:val="21"/>
              </w:rPr>
              <w:t>SP</w:t>
            </w:r>
          </w:p>
        </w:tc>
        <w:tc>
          <w:tcPr>
            <w:tcW w:type="dxa" w:w="2484"/>
            <w:vAlign w:val="center"/>
            <w:shd w:fill="D9EAF7"/>
          </w:tcPr>
          <w:p>
            <w:pPr>
              <w:spacing w:after="0"/>
              <w:jc w:val="center"/>
            </w:pPr>
            <w:r>
              <w:rPr>
                <w:b/>
              </w:rPr>
            </w:r>
            <w:r>
              <w:rPr>
                <w:rFonts w:ascii="Times New Roman" w:hAnsi="Times New Roman" w:eastAsia="Times New Roman"/>
                <w:b/>
                <w:sz w:val="21"/>
              </w:rPr>
              <w:t>Lý do lựa chọn</w:t>
            </w:r>
          </w:p>
        </w:tc>
      </w:tr>
      <w:tr>
        <w:tc>
          <w:tcPr>
            <w:tcW w:type="dxa" w:w="2484"/>
            <w:vAlign w:val="center"/>
          </w:tcPr>
          <w:p>
            <w:pPr>
              <w:spacing w:after="0"/>
              <w:jc w:val="center"/>
            </w:pPr>
            <w:r/>
            <w:r>
              <w:rPr>
                <w:rFonts w:ascii="Times New Roman" w:hAnsi="Times New Roman" w:eastAsia="Times New Roman"/>
                <w:b w:val="0"/>
                <w:sz w:val="21"/>
              </w:rPr>
              <w:t>1</w:t>
            </w:r>
          </w:p>
        </w:tc>
        <w:tc>
          <w:tcPr>
            <w:tcW w:type="dxa" w:w="2484"/>
            <w:vAlign w:val="center"/>
          </w:tcPr>
          <w:p>
            <w:pPr>
              <w:spacing w:after="0"/>
            </w:pPr>
            <w:r/>
            <w:r>
              <w:rPr>
                <w:rFonts w:ascii="Times New Roman" w:hAnsi="Times New Roman" w:eastAsia="Times New Roman"/>
                <w:b w:val="0"/>
                <w:sz w:val="21"/>
              </w:rPr>
              <w:t>Thanh toán chuyến đi bằng ví RikkeiPay</w:t>
            </w:r>
          </w:p>
        </w:tc>
        <w:tc>
          <w:tcPr>
            <w:tcW w:type="dxa" w:w="2484"/>
            <w:vAlign w:val="center"/>
          </w:tcPr>
          <w:p>
            <w:pPr>
              <w:spacing w:after="0"/>
              <w:jc w:val="center"/>
            </w:pPr>
            <w:r/>
            <w:r>
              <w:rPr>
                <w:rFonts w:ascii="Times New Roman" w:hAnsi="Times New Roman" w:eastAsia="Times New Roman"/>
                <w:b w:val="0"/>
                <w:sz w:val="21"/>
              </w:rPr>
              <w:t>8</w:t>
            </w:r>
          </w:p>
        </w:tc>
        <w:tc>
          <w:tcPr>
            <w:tcW w:type="dxa" w:w="2484"/>
            <w:vAlign w:val="center"/>
          </w:tcPr>
          <w:p>
            <w:pPr>
              <w:spacing w:after="0"/>
            </w:pPr>
            <w:r/>
            <w:r>
              <w:rPr>
                <w:rFonts w:ascii="Times New Roman" w:hAnsi="Times New Roman" w:eastAsia="Times New Roman"/>
                <w:b w:val="0"/>
                <w:sz w:val="21"/>
              </w:rPr>
              <w:t>Hoàn thiện Integration Test để kiểm tra luồng thanh toán hoạt động đúng.</w:t>
            </w:r>
          </w:p>
        </w:tc>
      </w:tr>
      <w:tr>
        <w:tc>
          <w:tcPr>
            <w:tcW w:type="dxa" w:w="2484"/>
            <w:vAlign w:val="center"/>
          </w:tcPr>
          <w:p>
            <w:pPr>
              <w:spacing w:after="0"/>
              <w:jc w:val="center"/>
            </w:pPr>
            <w:r/>
            <w:r>
              <w:rPr>
                <w:rFonts w:ascii="Times New Roman" w:hAnsi="Times New Roman" w:eastAsia="Times New Roman"/>
                <w:b w:val="0"/>
                <w:sz w:val="21"/>
              </w:rPr>
              <w:t>2</w:t>
            </w:r>
          </w:p>
        </w:tc>
        <w:tc>
          <w:tcPr>
            <w:tcW w:type="dxa" w:w="2484"/>
            <w:vAlign w:val="center"/>
          </w:tcPr>
          <w:p>
            <w:pPr>
              <w:spacing w:after="0"/>
            </w:pPr>
            <w:r/>
            <w:r>
              <w:rPr>
                <w:rFonts w:ascii="Times New Roman" w:hAnsi="Times New Roman" w:eastAsia="Times New Roman"/>
                <w:b w:val="0"/>
                <w:sz w:val="21"/>
              </w:rPr>
              <w:t>Hoàn tiền vào ví khi chuyến bị hủy</w:t>
            </w:r>
          </w:p>
        </w:tc>
        <w:tc>
          <w:tcPr>
            <w:tcW w:type="dxa" w:w="2484"/>
            <w:vAlign w:val="center"/>
          </w:tcPr>
          <w:p>
            <w:pPr>
              <w:spacing w:after="0"/>
              <w:jc w:val="center"/>
            </w:pPr>
            <w:r/>
            <w:r>
              <w:rPr>
                <w:rFonts w:ascii="Times New Roman" w:hAnsi="Times New Roman" w:eastAsia="Times New Roman"/>
                <w:b w:val="0"/>
                <w:sz w:val="21"/>
              </w:rPr>
              <w:t>5</w:t>
            </w:r>
          </w:p>
        </w:tc>
        <w:tc>
          <w:tcPr>
            <w:tcW w:type="dxa" w:w="2484"/>
            <w:vAlign w:val="center"/>
          </w:tcPr>
          <w:p>
            <w:pPr>
              <w:spacing w:after="0"/>
            </w:pPr>
            <w:r/>
            <w:r>
              <w:rPr>
                <w:rFonts w:ascii="Times New Roman" w:hAnsi="Times New Roman" w:eastAsia="Times New Roman"/>
                <w:b w:val="0"/>
                <w:sz w:val="21"/>
              </w:rPr>
              <w:t>Giúp khách nhận lại tiền khi chuyến bị hủy và biết trạng thái hoàn tiền.</w:t>
            </w:r>
          </w:p>
        </w:tc>
      </w:tr>
      <w:tr>
        <w:tc>
          <w:tcPr>
            <w:tcW w:type="dxa" w:w="2484"/>
            <w:vAlign w:val="center"/>
          </w:tcPr>
          <w:p>
            <w:pPr>
              <w:spacing w:after="0"/>
              <w:jc w:val="center"/>
            </w:pPr>
            <w:r/>
            <w:r>
              <w:rPr>
                <w:rFonts w:ascii="Times New Roman" w:hAnsi="Times New Roman" w:eastAsia="Times New Roman"/>
                <w:b w:val="0"/>
                <w:sz w:val="21"/>
              </w:rPr>
              <w:t>3</w:t>
            </w:r>
          </w:p>
        </w:tc>
        <w:tc>
          <w:tcPr>
            <w:tcW w:type="dxa" w:w="2484"/>
            <w:vAlign w:val="center"/>
          </w:tcPr>
          <w:p>
            <w:pPr>
              <w:spacing w:after="0"/>
            </w:pPr>
            <w:r/>
            <w:r>
              <w:rPr>
                <w:rFonts w:ascii="Times New Roman" w:hAnsi="Times New Roman" w:eastAsia="Times New Roman"/>
                <w:b w:val="0"/>
                <w:sz w:val="21"/>
              </w:rPr>
              <w:t>Xem số dư và lịch sử giao dịch ví</w:t>
            </w:r>
          </w:p>
        </w:tc>
        <w:tc>
          <w:tcPr>
            <w:tcW w:type="dxa" w:w="2484"/>
            <w:vAlign w:val="center"/>
          </w:tcPr>
          <w:p>
            <w:pPr>
              <w:spacing w:after="0"/>
              <w:jc w:val="center"/>
            </w:pPr>
            <w:r/>
            <w:r>
              <w:rPr>
                <w:rFonts w:ascii="Times New Roman" w:hAnsi="Times New Roman" w:eastAsia="Times New Roman"/>
                <w:b w:val="0"/>
                <w:sz w:val="21"/>
              </w:rPr>
              <w:t>3</w:t>
            </w:r>
          </w:p>
        </w:tc>
        <w:tc>
          <w:tcPr>
            <w:tcW w:type="dxa" w:w="2484"/>
            <w:vAlign w:val="center"/>
          </w:tcPr>
          <w:p>
            <w:pPr>
              <w:spacing w:after="0"/>
            </w:pPr>
            <w:r/>
            <w:r>
              <w:rPr>
                <w:rFonts w:ascii="Times New Roman" w:hAnsi="Times New Roman" w:eastAsia="Times New Roman"/>
                <w:b w:val="0"/>
                <w:sz w:val="21"/>
              </w:rPr>
              <w:t>Giúp khách kiểm tra số dư và xác nhận giao dịch hoàn tiền.</w:t>
            </w:r>
          </w:p>
        </w:tc>
      </w:tr>
      <w:tr>
        <w:tc>
          <w:tcPr>
            <w:tcW w:type="dxa" w:w="2484"/>
            <w:vAlign w:val="center"/>
          </w:tcPr>
          <w:p>
            <w:pPr>
              <w:spacing w:after="0"/>
              <w:jc w:val="center"/>
            </w:pPr>
            <w:r/>
            <w:r>
              <w:rPr>
                <w:rFonts w:ascii="Times New Roman" w:hAnsi="Times New Roman" w:eastAsia="Times New Roman"/>
                <w:b/>
                <w:sz w:val="21"/>
              </w:rPr>
            </w:r>
          </w:p>
        </w:tc>
        <w:tc>
          <w:tcPr>
            <w:tcW w:type="dxa" w:w="2484"/>
            <w:vAlign w:val="center"/>
          </w:tcPr>
          <w:p>
            <w:pPr>
              <w:spacing w:after="0"/>
            </w:pPr>
            <w:r/>
            <w:r>
              <w:rPr>
                <w:rFonts w:ascii="Times New Roman" w:hAnsi="Times New Roman" w:eastAsia="Times New Roman"/>
                <w:b/>
                <w:sz w:val="21"/>
              </w:rPr>
              <w:t>Tổng</w:t>
            </w:r>
          </w:p>
        </w:tc>
        <w:tc>
          <w:tcPr>
            <w:tcW w:type="dxa" w:w="2484"/>
            <w:vAlign w:val="center"/>
          </w:tcPr>
          <w:p>
            <w:pPr>
              <w:spacing w:after="0"/>
              <w:jc w:val="center"/>
            </w:pPr>
            <w:r/>
            <w:r>
              <w:rPr>
                <w:rFonts w:ascii="Times New Roman" w:hAnsi="Times New Roman" w:eastAsia="Times New Roman"/>
                <w:b/>
                <w:sz w:val="21"/>
              </w:rPr>
              <w:t>16 SP</w:t>
            </w:r>
          </w:p>
        </w:tc>
        <w:tc>
          <w:tcPr>
            <w:tcW w:type="dxa" w:w="2484"/>
            <w:vAlign w:val="center"/>
          </w:tcPr>
          <w:p>
            <w:pPr>
              <w:spacing w:after="0"/>
            </w:pPr>
            <w:r/>
            <w:r>
              <w:rPr>
                <w:rFonts w:ascii="Times New Roman" w:hAnsi="Times New Roman" w:eastAsia="Times New Roman"/>
                <w:b/>
                <w:sz w:val="21"/>
              </w:rPr>
              <w:t>Các PBI đều phục vụ Sprint Goal.</w:t>
            </w:r>
          </w:p>
        </w:tc>
      </w:tr>
    </w:tbl>
    <w:p>
      <w:r>
        <w:t>Căn cứ lựa chọn: Tổng phạm vi là 16 SP, nằm trong khoảng Velocity dự báo 15–20 SP và gần mức trung bình 18 SP. PBI 2 phụ thuộc PBI 1 nên nhóm cần hoàn thiện luồng thanh toán cần thiết trước khi kiểm thử luồng hoàn tiền.</w:t>
      </w:r>
    </w:p>
    <w:p>
      <w:pPr>
        <w:pStyle w:val="Heading2"/>
      </w:pPr>
      <w:r>
        <w:t>2.3. Các PBI không được chọn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spacing w:after="0"/>
              <w:jc w:val="center"/>
            </w:pPr>
            <w:r>
              <w:rPr>
                <w:b/>
              </w:rPr>
            </w:r>
            <w:r>
              <w:rPr>
                <w:rFonts w:ascii="Times New Roman" w:hAnsi="Times New Roman" w:eastAsia="Times New Roman"/>
                <w:b/>
                <w:sz w:val="21"/>
              </w:rPr>
              <w:t>PBI</w:t>
            </w:r>
          </w:p>
        </w:tc>
        <w:tc>
          <w:tcPr>
            <w:tcW w:type="dxa" w:w="2484"/>
            <w:vAlign w:val="center"/>
            <w:shd w:fill="D9EAF7"/>
          </w:tcPr>
          <w:p>
            <w:pPr>
              <w:spacing w:after="0"/>
              <w:jc w:val="center"/>
            </w:pPr>
            <w:r>
              <w:rPr>
                <w:b/>
              </w:rPr>
            </w:r>
            <w:r>
              <w:rPr>
                <w:rFonts w:ascii="Times New Roman" w:hAnsi="Times New Roman" w:eastAsia="Times New Roman"/>
                <w:b/>
                <w:sz w:val="21"/>
              </w:rPr>
              <w:t>Nội dung</w:t>
            </w:r>
          </w:p>
        </w:tc>
        <w:tc>
          <w:tcPr>
            <w:tcW w:type="dxa" w:w="2484"/>
            <w:vAlign w:val="center"/>
            <w:shd w:fill="D9EAF7"/>
          </w:tcPr>
          <w:p>
            <w:pPr>
              <w:spacing w:after="0"/>
              <w:jc w:val="center"/>
            </w:pPr>
            <w:r>
              <w:rPr>
                <w:b/>
              </w:rPr>
            </w:r>
            <w:r>
              <w:rPr>
                <w:rFonts w:ascii="Times New Roman" w:hAnsi="Times New Roman" w:eastAsia="Times New Roman"/>
                <w:b/>
                <w:sz w:val="21"/>
              </w:rPr>
              <w:t>SP</w:t>
            </w:r>
          </w:p>
        </w:tc>
        <w:tc>
          <w:tcPr>
            <w:tcW w:type="dxa" w:w="2484"/>
            <w:vAlign w:val="center"/>
            <w:shd w:fill="D9EAF7"/>
          </w:tcPr>
          <w:p>
            <w:pPr>
              <w:spacing w:after="0"/>
              <w:jc w:val="center"/>
            </w:pPr>
            <w:r>
              <w:rPr>
                <w:b/>
              </w:rPr>
            </w:r>
            <w:r>
              <w:rPr>
                <w:rFonts w:ascii="Times New Roman" w:hAnsi="Times New Roman" w:eastAsia="Times New Roman"/>
                <w:b/>
                <w:sz w:val="21"/>
              </w:rPr>
              <w:t>Lý do không chọn</w:t>
            </w:r>
          </w:p>
        </w:tc>
      </w:tr>
      <w:tr>
        <w:tc>
          <w:tcPr>
            <w:tcW w:type="dxa" w:w="2484"/>
            <w:vAlign w:val="center"/>
          </w:tcPr>
          <w:p>
            <w:pPr>
              <w:spacing w:after="0"/>
              <w:jc w:val="center"/>
            </w:pPr>
            <w:r/>
            <w:r>
              <w:rPr>
                <w:rFonts w:ascii="Times New Roman" w:hAnsi="Times New Roman" w:eastAsia="Times New Roman"/>
                <w:b w:val="0"/>
                <w:sz w:val="21"/>
              </w:rPr>
              <w:t>4</w:t>
            </w:r>
          </w:p>
        </w:tc>
        <w:tc>
          <w:tcPr>
            <w:tcW w:type="dxa" w:w="2484"/>
            <w:vAlign w:val="center"/>
          </w:tcPr>
          <w:p>
            <w:pPr>
              <w:spacing w:after="0"/>
            </w:pPr>
            <w:r/>
            <w:r>
              <w:rPr>
                <w:rFonts w:ascii="Times New Roman" w:hAnsi="Times New Roman" w:eastAsia="Times New Roman"/>
                <w:b w:val="0"/>
                <w:sz w:val="21"/>
              </w:rPr>
              <w:t>Gửi SMS khi tài xế sắp đến</w:t>
            </w:r>
          </w:p>
        </w:tc>
        <w:tc>
          <w:tcPr>
            <w:tcW w:type="dxa" w:w="2484"/>
            <w:vAlign w:val="center"/>
          </w:tcPr>
          <w:p>
            <w:pPr>
              <w:spacing w:after="0"/>
              <w:jc w:val="center"/>
            </w:pPr>
            <w:r/>
            <w:r>
              <w:rPr>
                <w:rFonts w:ascii="Times New Roman" w:hAnsi="Times New Roman" w:eastAsia="Times New Roman"/>
                <w:b w:val="0"/>
                <w:sz w:val="21"/>
              </w:rPr>
              <w:t>3</w:t>
            </w:r>
          </w:p>
        </w:tc>
        <w:tc>
          <w:tcPr>
            <w:tcW w:type="dxa" w:w="2484"/>
            <w:vAlign w:val="center"/>
          </w:tcPr>
          <w:p>
            <w:pPr>
              <w:spacing w:after="0"/>
            </w:pPr>
            <w:r/>
            <w:r>
              <w:rPr>
                <w:rFonts w:ascii="Times New Roman" w:hAnsi="Times New Roman" w:eastAsia="Times New Roman"/>
                <w:b w:val="0"/>
                <w:sz w:val="21"/>
              </w:rPr>
              <w:t>Nhà cung cấp SMS chưa ký hợp đồng nên chưa sẵn sàng triển khai.</w:t>
            </w:r>
          </w:p>
        </w:tc>
      </w:tr>
      <w:tr>
        <w:tc>
          <w:tcPr>
            <w:tcW w:type="dxa" w:w="2484"/>
            <w:vAlign w:val="center"/>
          </w:tcPr>
          <w:p>
            <w:pPr>
              <w:spacing w:after="0"/>
              <w:jc w:val="center"/>
            </w:pPr>
            <w:r/>
            <w:r>
              <w:rPr>
                <w:rFonts w:ascii="Times New Roman" w:hAnsi="Times New Roman" w:eastAsia="Times New Roman"/>
                <w:b w:val="0"/>
                <w:sz w:val="21"/>
              </w:rPr>
              <w:t>5</w:t>
            </w:r>
          </w:p>
        </w:tc>
        <w:tc>
          <w:tcPr>
            <w:tcW w:type="dxa" w:w="2484"/>
            <w:vAlign w:val="center"/>
          </w:tcPr>
          <w:p>
            <w:pPr>
              <w:spacing w:after="0"/>
            </w:pPr>
            <w:r/>
            <w:r>
              <w:rPr>
                <w:rFonts w:ascii="Times New Roman" w:hAnsi="Times New Roman" w:eastAsia="Times New Roman"/>
                <w:b w:val="0"/>
                <w:sz w:val="21"/>
              </w:rPr>
              <w:t>Giao diện chủ đề Tết</w:t>
            </w:r>
          </w:p>
        </w:tc>
        <w:tc>
          <w:tcPr>
            <w:tcW w:type="dxa" w:w="2484"/>
            <w:vAlign w:val="center"/>
          </w:tcPr>
          <w:p>
            <w:pPr>
              <w:spacing w:after="0"/>
              <w:jc w:val="center"/>
            </w:pPr>
            <w:r/>
            <w:r>
              <w:rPr>
                <w:rFonts w:ascii="Times New Roman" w:hAnsi="Times New Roman" w:eastAsia="Times New Roman"/>
                <w:b w:val="0"/>
                <w:sz w:val="21"/>
              </w:rPr>
              <w:t>2</w:t>
            </w:r>
          </w:p>
        </w:tc>
        <w:tc>
          <w:tcPr>
            <w:tcW w:type="dxa" w:w="2484"/>
            <w:vAlign w:val="center"/>
          </w:tcPr>
          <w:p>
            <w:pPr>
              <w:spacing w:after="0"/>
            </w:pPr>
            <w:r/>
            <w:r>
              <w:rPr>
                <w:rFonts w:ascii="Times New Roman" w:hAnsi="Times New Roman" w:eastAsia="Times New Roman"/>
                <w:b w:val="0"/>
                <w:sz w:val="21"/>
              </w:rPr>
              <w:t>Không trực tiếp giải quyết vấn đề thanh toán và hoàn tiền của khách hàng.</w:t>
            </w:r>
          </w:p>
        </w:tc>
      </w:tr>
      <w:tr>
        <w:tc>
          <w:tcPr>
            <w:tcW w:type="dxa" w:w="2484"/>
            <w:vAlign w:val="center"/>
          </w:tcPr>
          <w:p>
            <w:pPr>
              <w:spacing w:after="0"/>
              <w:jc w:val="center"/>
            </w:pPr>
            <w:r/>
            <w:r>
              <w:rPr>
                <w:rFonts w:ascii="Times New Roman" w:hAnsi="Times New Roman" w:eastAsia="Times New Roman"/>
                <w:b w:val="0"/>
                <w:sz w:val="21"/>
              </w:rPr>
              <w:t>6</w:t>
            </w:r>
          </w:p>
        </w:tc>
        <w:tc>
          <w:tcPr>
            <w:tcW w:type="dxa" w:w="2484"/>
            <w:vAlign w:val="center"/>
          </w:tcPr>
          <w:p>
            <w:pPr>
              <w:spacing w:after="0"/>
            </w:pPr>
            <w:r/>
            <w:r>
              <w:rPr>
                <w:rFonts w:ascii="Times New Roman" w:hAnsi="Times New Roman" w:eastAsia="Times New Roman"/>
                <w:b w:val="0"/>
                <w:sz w:val="21"/>
              </w:rPr>
              <w:t>Chat với tài xế</w:t>
            </w:r>
          </w:p>
        </w:tc>
        <w:tc>
          <w:tcPr>
            <w:tcW w:type="dxa" w:w="2484"/>
            <w:vAlign w:val="center"/>
          </w:tcPr>
          <w:p>
            <w:pPr>
              <w:spacing w:after="0"/>
              <w:jc w:val="center"/>
            </w:pPr>
            <w:r/>
            <w:r>
              <w:rPr>
                <w:rFonts w:ascii="Times New Roman" w:hAnsi="Times New Roman" w:eastAsia="Times New Roman"/>
                <w:b w:val="0"/>
                <w:sz w:val="21"/>
              </w:rPr>
              <w:t>5</w:t>
            </w:r>
          </w:p>
        </w:tc>
        <w:tc>
          <w:tcPr>
            <w:tcW w:type="dxa" w:w="2484"/>
            <w:vAlign w:val="center"/>
          </w:tcPr>
          <w:p>
            <w:pPr>
              <w:spacing w:after="0"/>
            </w:pPr>
            <w:r/>
            <w:r>
              <w:rPr>
                <w:rFonts w:ascii="Times New Roman" w:hAnsi="Times New Roman" w:eastAsia="Times New Roman"/>
                <w:b w:val="0"/>
                <w:sz w:val="21"/>
              </w:rPr>
              <w:t>Không phục vụ Sprint Goal hiện tại và có thể để lại cho Sprint sau.</w:t>
            </w:r>
          </w:p>
        </w:tc>
      </w:tr>
    </w:tbl>
    <w:p>
      <w:r>
        <w:t>Sau khi chọn các PBI chính, nhóm còn thiếu 2 SP so với Velocity trung bình 18 SP. Dù PBI 5 có đúng 2 SP, nhóm vẫn không chọn vì không phục vụ Sprint Goal. Không nên thêm việc chỉ để lấp đầy phạm vi Sprint.</w:t>
      </w:r>
    </w:p>
    <w:p>
      <w:pPr>
        <w:pStyle w:val="Heading1"/>
      </w:pPr>
      <w:r>
        <w:t>PHẦN 3. PHÂN RÃ PBI THÀNH TASK</w:t>
      </w:r>
    </w:p>
    <w:p>
      <w:r>
        <w:t>PBI được phân rã: “Hoàn tiền vào ví khi chuyến bị hủy” (5 SP).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jc w:val="center"/>
            </w:pPr>
            <w:r>
              <w:rPr>
                <w:b/>
              </w:rPr>
            </w:r>
            <w:r>
              <w:rPr>
                <w:rFonts w:ascii="Times New Roman" w:hAnsi="Times New Roman" w:eastAsia="Times New Roman"/>
                <w:b/>
                <w:sz w:val="21"/>
              </w:rPr>
              <w:t>Task</w:t>
            </w:r>
          </w:p>
        </w:tc>
        <w:tc>
          <w:tcPr>
            <w:tcW w:type="dxa" w:w="3312"/>
            <w:vAlign w:val="center"/>
            <w:shd w:fill="D9EAF7"/>
          </w:tcPr>
          <w:p>
            <w:pPr>
              <w:spacing w:after="0"/>
              <w:jc w:val="center"/>
            </w:pPr>
            <w:r>
              <w:rPr>
                <w:b/>
              </w:rPr>
            </w:r>
            <w:r>
              <w:rPr>
                <w:rFonts w:ascii="Times New Roman" w:hAnsi="Times New Roman" w:eastAsia="Times New Roman"/>
                <w:b/>
                <w:sz w:val="21"/>
              </w:rPr>
              <w:t>Công việc thực hiện</w:t>
            </w:r>
          </w:p>
        </w:tc>
        <w:tc>
          <w:tcPr>
            <w:tcW w:type="dxa" w:w="3312"/>
            <w:vAlign w:val="center"/>
            <w:shd w:fill="D9EAF7"/>
          </w:tcPr>
          <w:p>
            <w:pPr>
              <w:spacing w:after="0"/>
              <w:jc w:val="center"/>
            </w:pPr>
            <w:r>
              <w:rPr>
                <w:b/>
              </w:rPr>
            </w:r>
            <w:r>
              <w:rPr>
                <w:rFonts w:ascii="Times New Roman" w:hAnsi="Times New Roman" w:eastAsia="Times New Roman"/>
                <w:b/>
                <w:sz w:val="21"/>
              </w:rPr>
              <w:t>Đầu ra kiểm chứng được</w:t>
            </w:r>
          </w:p>
        </w:tc>
      </w:tr>
      <w:tr>
        <w:tc>
          <w:tcPr>
            <w:tcW w:type="dxa" w:w="3312"/>
            <w:vAlign w:val="center"/>
          </w:tcPr>
          <w:p>
            <w:pPr>
              <w:spacing w:after="0"/>
              <w:jc w:val="center"/>
            </w:pPr>
            <w:r/>
            <w:r>
              <w:rPr>
                <w:rFonts w:ascii="Times New Roman" w:hAnsi="Times New Roman" w:eastAsia="Times New Roman"/>
                <w:b w:val="0"/>
                <w:sz w:val="21"/>
              </w:rPr>
              <w:t>Task 1</w:t>
            </w:r>
          </w:p>
        </w:tc>
        <w:tc>
          <w:tcPr>
            <w:tcW w:type="dxa" w:w="3312"/>
            <w:vAlign w:val="center"/>
          </w:tcPr>
          <w:p>
            <w:pPr>
              <w:spacing w:after="0"/>
            </w:pPr>
            <w:r/>
            <w:r>
              <w:rPr>
                <w:rFonts w:ascii="Times New Roman" w:hAnsi="Times New Roman" w:eastAsia="Times New Roman"/>
                <w:b w:val="0"/>
                <w:sz w:val="21"/>
              </w:rPr>
              <w:t>Phân tích điều kiện hủy chuyến và xác định quy tắc hoàn tiền.</w:t>
            </w:r>
          </w:p>
        </w:tc>
        <w:tc>
          <w:tcPr>
            <w:tcW w:type="dxa" w:w="3312"/>
            <w:vAlign w:val="center"/>
          </w:tcPr>
          <w:p>
            <w:pPr>
              <w:spacing w:after="0"/>
            </w:pPr>
            <w:r/>
            <w:r>
              <w:rPr>
                <w:rFonts w:ascii="Times New Roman" w:hAnsi="Times New Roman" w:eastAsia="Times New Roman"/>
                <w:b w:val="0"/>
                <w:sz w:val="21"/>
              </w:rPr>
              <w:t>Tài liệu quy tắc hoàn tiền, gồm điều kiện được hoàn tiền và số tiền cần hoàn.</w:t>
            </w:r>
          </w:p>
        </w:tc>
      </w:tr>
      <w:tr>
        <w:tc>
          <w:tcPr>
            <w:tcW w:type="dxa" w:w="3312"/>
            <w:vAlign w:val="center"/>
          </w:tcPr>
          <w:p>
            <w:pPr>
              <w:spacing w:after="0"/>
              <w:jc w:val="center"/>
            </w:pPr>
            <w:r/>
            <w:r>
              <w:rPr>
                <w:rFonts w:ascii="Times New Roman" w:hAnsi="Times New Roman" w:eastAsia="Times New Roman"/>
                <w:b w:val="0"/>
                <w:sz w:val="21"/>
              </w:rPr>
              <w:t>Task 2</w:t>
            </w:r>
          </w:p>
        </w:tc>
        <w:tc>
          <w:tcPr>
            <w:tcW w:type="dxa" w:w="3312"/>
            <w:vAlign w:val="center"/>
          </w:tcPr>
          <w:p>
            <w:pPr>
              <w:spacing w:after="0"/>
            </w:pPr>
            <w:r/>
            <w:r>
              <w:rPr>
                <w:rFonts w:ascii="Times New Roman" w:hAnsi="Times New Roman" w:eastAsia="Times New Roman"/>
                <w:b w:val="0"/>
                <w:sz w:val="21"/>
              </w:rPr>
              <w:t>Xây dựng chức năng xử lý hoàn tiền vào ví khi chuyến bị hủy hợp lệ.</w:t>
            </w:r>
          </w:p>
        </w:tc>
        <w:tc>
          <w:tcPr>
            <w:tcW w:type="dxa" w:w="3312"/>
            <w:vAlign w:val="center"/>
          </w:tcPr>
          <w:p>
            <w:pPr>
              <w:spacing w:after="0"/>
            </w:pPr>
            <w:r/>
            <w:r>
              <w:rPr>
                <w:rFonts w:ascii="Times New Roman" w:hAnsi="Times New Roman" w:eastAsia="Times New Roman"/>
                <w:b w:val="0"/>
                <w:sz w:val="21"/>
              </w:rPr>
              <w:t>Khi hủy chuyến hợp lệ, hệ thống cập nhật số dư ví và ghi nhận giao dịch hoàn tiền; không hoàn trùng khi xử lý lại yêu cầu.</w:t>
            </w:r>
          </w:p>
        </w:tc>
      </w:tr>
      <w:tr>
        <w:tc>
          <w:tcPr>
            <w:tcW w:type="dxa" w:w="3312"/>
            <w:vAlign w:val="center"/>
          </w:tcPr>
          <w:p>
            <w:pPr>
              <w:spacing w:after="0"/>
              <w:jc w:val="center"/>
            </w:pPr>
            <w:r/>
            <w:r>
              <w:rPr>
                <w:rFonts w:ascii="Times New Roman" w:hAnsi="Times New Roman" w:eastAsia="Times New Roman"/>
                <w:b w:val="0"/>
                <w:sz w:val="21"/>
              </w:rPr>
              <w:t>Task 3</w:t>
            </w:r>
          </w:p>
        </w:tc>
        <w:tc>
          <w:tcPr>
            <w:tcW w:type="dxa" w:w="3312"/>
            <w:vAlign w:val="center"/>
          </w:tcPr>
          <w:p>
            <w:pPr>
              <w:spacing w:after="0"/>
            </w:pPr>
            <w:r/>
            <w:r>
              <w:rPr>
                <w:rFonts w:ascii="Times New Roman" w:hAnsi="Times New Roman" w:eastAsia="Times New Roman"/>
                <w:b w:val="0"/>
                <w:sz w:val="21"/>
              </w:rPr>
              <w:t>Viết và chạy kiểm thử chức năng hoàn tiền.</w:t>
            </w:r>
          </w:p>
        </w:tc>
        <w:tc>
          <w:tcPr>
            <w:tcW w:type="dxa" w:w="3312"/>
            <w:vAlign w:val="center"/>
          </w:tcPr>
          <w:p>
            <w:pPr>
              <w:spacing w:after="0"/>
            </w:pPr>
            <w:r/>
            <w:r>
              <w:rPr>
                <w:rFonts w:ascii="Times New Roman" w:hAnsi="Times New Roman" w:eastAsia="Times New Roman"/>
                <w:b w:val="0"/>
                <w:sz w:val="21"/>
              </w:rPr>
              <w:t>Báo cáo kiểm thử có kết quả đạt/không đạt cho các trường hợp hủy chuyến hợp lệ, không đủ điều kiện và xử lý yêu cầu lặp.</w:t>
            </w:r>
          </w:p>
        </w:tc>
      </w:tr>
    </w:tbl>
    <w:p>
      <w:r>
        <w:t>Ba Task có đầu ra cụ thể để Developers phối hợp và kiểm tra tiến độ. Khi thực hiện, nhóm cần xác nhận quy tắc hoàn tiền với Product Owner nếu đề bài chưa quy định chi tiết.</w:t>
      </w:r>
    </w:p>
    <w:p>
      <w:pPr>
        <w:pStyle w:val="Heading1"/>
      </w:pPr>
      <w:r>
        <w:t>KẾT LUẬN</w:t>
      </w:r>
    </w:p>
    <w:p>
      <w:r>
        <w:t>Sprint 5 dự kiến thực hiện 3 PBI với tổng cộng 16 SP, dựa trên khoảng Velocity 15–20 SP và Planning Capacity 212 giờ. Phạm vi tập trung vào thanh toán, hoàn tiền và khả năng kiểm tra giao dịch ví. Nhóm không đưa các PBI chưa sẵn sàng hoặc không phục vụ Sprint Goal vào Sprint chỉ để sử dụng hết Velocity dự báo.</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Sprint 5 – RikkeiPay | Trang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