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0"/>
        </w:rPr>
        <w:t>ƯU TIÊN HÓA PRODUCT BACKLOG BẰNG MOSCOW</w:t>
        <w:br/>
        <w:t>CHO SPRINT TIẾP THEO</w:t>
      </w:r>
    </w:p>
    <w:p>
      <w:pPr>
        <w:jc w:val="center"/>
      </w:pPr>
      <w:r>
        <w:rPr>
          <w:i/>
        </w:rPr>
        <w:t>Ứng dụng đặt xe RikkeiGo</w:t>
      </w:r>
    </w:p>
    <w:p>
      <w:r>
        <w:t>Họ và tên: ............................................................</w:t>
      </w:r>
    </w:p>
    <w:p>
      <w:r>
        <w:t>Lớp: ....................................</w:t>
      </w:r>
    </w:p>
    <w:p>
      <w:pPr>
        <w:pStyle w:val="Heading1"/>
      </w:pPr>
      <w:r>
        <w:t>PHẦN 1. ĐỀ XUẤT HAI CÁCH GÁN NHÃN</w:t>
      </w:r>
    </w:p>
    <w:p>
      <w:pPr>
        <w:pStyle w:val="Heading2"/>
      </w:pPr>
      <w:r>
        <w:t>Cách 1: Ưu tiên theo ý kiến các bên liên quan</w:t>
      </w:r>
    </w:p>
    <w:p>
      <w:r>
        <w:t>Mỗi bộ phận đề xuất hạng mục mà mình cho là quan trọng nhất. Ví dụ, Marketing ưu tiên giao diện khuyến mãi, còn Chăm sóc khách hàng ưu tiên chat với tài xế. Cách này dễ thu thập ý kiến nhưng có thể bị cảm tính và khó thống nhất.</w:t>
      </w:r>
    </w:p>
    <w:p>
      <w:pPr>
        <w:pStyle w:val="Heading2"/>
      </w:pPr>
      <w:r>
        <w:t>Cách 2: Ưu tiên theo mục tiêu phát hành và mức độ cần thiết</w:t>
      </w:r>
    </w:p>
    <w:p>
      <w:r>
        <w:t>Xét mục tiêu bản phát hành “Tháng khuyến mãi”, mức độ ảnh hưởng đến khách hàng và việc có cách xử lý thay thế hay không. Hạng mục làm sai tiền khách hoặc cần để áp dụng khuyến mãi được ưu tiên; hạng mục có phương án thay thế hoặc chỉ làm đẹp trải nghiệm có thể xếp thấp hơn.</w:t>
      </w:r>
    </w:p>
    <w:p>
      <w:pPr>
        <w:pStyle w:val="Heading1"/>
      </w:pPr>
      <w:r>
        <w:t>PHẦN 2. SO SÁNH HAI CÁCH</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tcPr>
          <w:p>
            <w:pPr>
              <w:spacing w:after="40"/>
            </w:pPr>
            <w:r>
              <w:rPr>
                <w:rFonts w:ascii="Times New Roman" w:hAnsi="Times New Roman"/>
                <w:b/>
                <w:sz w:val="19"/>
              </w:rPr>
              <w:t>Tiêu chí</w:t>
            </w:r>
          </w:p>
        </w:tc>
        <w:tc>
          <w:tcPr>
            <w:tcW w:type="dxa" w:w="3408"/>
            <w:vAlign w:val="center"/>
          </w:tcPr>
          <w:p>
            <w:pPr>
              <w:spacing w:after="40"/>
            </w:pPr>
            <w:r>
              <w:rPr>
                <w:rFonts w:ascii="Times New Roman" w:hAnsi="Times New Roman"/>
                <w:b/>
                <w:sz w:val="19"/>
              </w:rPr>
              <w:t>Cách 1: Theo ý kiến các bên</w:t>
            </w:r>
          </w:p>
        </w:tc>
        <w:tc>
          <w:tcPr>
            <w:tcW w:type="dxa" w:w="3408"/>
            <w:vAlign w:val="center"/>
          </w:tcPr>
          <w:p>
            <w:pPr>
              <w:spacing w:after="40"/>
            </w:pPr>
            <w:r>
              <w:rPr>
                <w:rFonts w:ascii="Times New Roman" w:hAnsi="Times New Roman"/>
                <w:b/>
                <w:sz w:val="19"/>
              </w:rPr>
              <w:t>Cách 2: Theo mục tiêu và mức độ cần thiết</w:t>
            </w:r>
          </w:p>
        </w:tc>
      </w:tr>
      <w:tr>
        <w:tc>
          <w:tcPr>
            <w:tcW w:type="dxa" w:w="3408"/>
            <w:vAlign w:val="center"/>
          </w:tcPr>
          <w:p>
            <w:pPr>
              <w:spacing w:after="40"/>
            </w:pPr>
            <w:r>
              <w:rPr>
                <w:rFonts w:ascii="Times New Roman" w:hAnsi="Times New Roman"/>
                <w:sz w:val="19"/>
              </w:rPr>
              <w:t>Khách quan khi nhiều bộ phận cùng đề xuất</w:t>
            </w:r>
          </w:p>
        </w:tc>
        <w:tc>
          <w:tcPr>
            <w:tcW w:type="dxa" w:w="3408"/>
            <w:vAlign w:val="center"/>
          </w:tcPr>
          <w:p>
            <w:pPr>
              <w:spacing w:after="40"/>
            </w:pPr>
            <w:r>
              <w:rPr>
                <w:rFonts w:ascii="Times New Roman" w:hAnsi="Times New Roman"/>
                <w:sz w:val="19"/>
              </w:rPr>
              <w:t>(–) Mỗi bộ phận dễ ưu tiên nhu cầu của mình nên có thể tranh luận và thiếu thống nhất.</w:t>
            </w:r>
          </w:p>
        </w:tc>
        <w:tc>
          <w:tcPr>
            <w:tcW w:type="dxa" w:w="3408"/>
            <w:vAlign w:val="center"/>
          </w:tcPr>
          <w:p>
            <w:pPr>
              <w:spacing w:after="40"/>
            </w:pPr>
            <w:r>
              <w:rPr>
                <w:rFonts w:ascii="Times New Roman" w:hAnsi="Times New Roman"/>
                <w:sz w:val="19"/>
              </w:rPr>
              <w:t>(+) Dựa trên mục tiêu phát hành, ảnh hưởng và phương án thay thế nên có căn cứ chung để quyết định.</w:t>
            </w:r>
          </w:p>
        </w:tc>
      </w:tr>
      <w:tr>
        <w:tc>
          <w:tcPr>
            <w:tcW w:type="dxa" w:w="3408"/>
            <w:vAlign w:val="center"/>
          </w:tcPr>
          <w:p>
            <w:pPr>
              <w:spacing w:after="40"/>
            </w:pPr>
            <w:r>
              <w:rPr>
                <w:rFonts w:ascii="Times New Roman" w:hAnsi="Times New Roman"/>
                <w:sz w:val="19"/>
              </w:rPr>
              <w:t>Bảo vệ hạng mục bắt buộc như #1</w:t>
            </w:r>
          </w:p>
        </w:tc>
        <w:tc>
          <w:tcPr>
            <w:tcW w:type="dxa" w:w="3408"/>
            <w:vAlign w:val="center"/>
          </w:tcPr>
          <w:p>
            <w:pPr>
              <w:spacing w:after="40"/>
            </w:pPr>
            <w:r>
              <w:rPr>
                <w:rFonts w:ascii="Times New Roman" w:hAnsi="Times New Roman"/>
                <w:sz w:val="19"/>
              </w:rPr>
              <w:t>(–) Hạng mục sửa lỗi có thể bị xếp sau nếu không phải ưu tiên của bộ phận đang đề xuất.</w:t>
            </w:r>
          </w:p>
        </w:tc>
        <w:tc>
          <w:tcPr>
            <w:tcW w:type="dxa" w:w="3408"/>
            <w:vAlign w:val="center"/>
          </w:tcPr>
          <w:p>
            <w:pPr>
              <w:spacing w:after="40"/>
            </w:pPr>
            <w:r>
              <w:rPr>
                <w:rFonts w:ascii="Times New Roman" w:hAnsi="Times New Roman"/>
                <w:sz w:val="19"/>
              </w:rPr>
              <w:t>(+) Lỗi đang thu sai tiền khách ảnh hưởng trực tiếp nên được xếp Must dù không phải yêu cầu của một bộ phận cụ thể.</w:t>
            </w:r>
          </w:p>
        </w:tc>
      </w:tr>
    </w:tbl>
    <w:p>
      <w:pPr>
        <w:pStyle w:val="Heading1"/>
      </w:pPr>
      <w:r>
        <w:t>PHẦN 3. ÁP DỤNG VÀ CHỐT PHẠM VI SPRINT</w:t>
      </w:r>
    </w:p>
    <w:p>
      <w:r>
        <w:t>Chọn Cách 2 vì có căn cứ rõ ràng hơn và giúp bảo vệ những hạng mục thật sự cần cho bản phát hành. Nhãn được xét riêng cho bản phát hành “Tháng khuyến mãi”, không phải quyết định vĩnh viễn cho các bản sau.</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tcPr>
          <w:p>
            <w:pPr>
              <w:spacing w:after="20"/>
            </w:pPr>
            <w:r>
              <w:rPr>
                <w:rFonts w:ascii="Times New Roman" w:hAnsi="Times New Roman"/>
                <w:b/>
                <w:sz w:val="17"/>
              </w:rPr>
              <w:t>#</w:t>
            </w:r>
          </w:p>
        </w:tc>
        <w:tc>
          <w:tcPr>
            <w:tcW w:type="dxa" w:w="2045"/>
            <w:vAlign w:val="center"/>
          </w:tcPr>
          <w:p>
            <w:pPr>
              <w:spacing w:after="20"/>
            </w:pPr>
            <w:r>
              <w:rPr>
                <w:rFonts w:ascii="Times New Roman" w:hAnsi="Times New Roman"/>
                <w:b/>
                <w:sz w:val="17"/>
              </w:rPr>
              <w:t>Hạng mục</w:t>
            </w:r>
          </w:p>
        </w:tc>
        <w:tc>
          <w:tcPr>
            <w:tcW w:type="dxa" w:w="2045"/>
            <w:vAlign w:val="center"/>
          </w:tcPr>
          <w:p>
            <w:pPr>
              <w:spacing w:after="20"/>
            </w:pPr>
            <w:r>
              <w:rPr>
                <w:rFonts w:ascii="Times New Roman" w:hAnsi="Times New Roman"/>
                <w:b/>
                <w:sz w:val="17"/>
              </w:rPr>
              <w:t>Điểm</w:t>
            </w:r>
          </w:p>
        </w:tc>
        <w:tc>
          <w:tcPr>
            <w:tcW w:type="dxa" w:w="2045"/>
            <w:vAlign w:val="center"/>
          </w:tcPr>
          <w:p>
            <w:pPr>
              <w:spacing w:after="20"/>
            </w:pPr>
            <w:r>
              <w:rPr>
                <w:rFonts w:ascii="Times New Roman" w:hAnsi="Times New Roman"/>
                <w:b/>
                <w:sz w:val="17"/>
              </w:rPr>
              <w:t>Nhãn MoSCoW</w:t>
            </w:r>
          </w:p>
        </w:tc>
        <w:tc>
          <w:tcPr>
            <w:tcW w:type="dxa" w:w="2045"/>
            <w:vAlign w:val="center"/>
          </w:tcPr>
          <w:p>
            <w:pPr>
              <w:spacing w:after="20"/>
            </w:pPr>
            <w:r>
              <w:rPr>
                <w:rFonts w:ascii="Times New Roman" w:hAnsi="Times New Roman"/>
                <w:b/>
                <w:sz w:val="17"/>
              </w:rPr>
              <w:t>Lý do</w:t>
            </w:r>
          </w:p>
        </w:tc>
      </w:tr>
      <w:tr>
        <w:tc>
          <w:tcPr>
            <w:tcW w:type="dxa" w:w="2045"/>
            <w:vAlign w:val="center"/>
          </w:tcPr>
          <w:p>
            <w:pPr>
              <w:spacing w:after="20"/>
            </w:pPr>
            <w:r>
              <w:rPr>
                <w:rFonts w:ascii="Times New Roman" w:hAnsi="Times New Roman"/>
                <w:sz w:val="17"/>
              </w:rPr>
              <w:t>1</w:t>
            </w:r>
          </w:p>
        </w:tc>
        <w:tc>
          <w:tcPr>
            <w:tcW w:type="dxa" w:w="2045"/>
            <w:vAlign w:val="center"/>
          </w:tcPr>
          <w:p>
            <w:pPr>
              <w:spacing w:after="20"/>
            </w:pPr>
            <w:r>
              <w:rPr>
                <w:rFonts w:ascii="Times New Roman" w:hAnsi="Times New Roman"/>
                <w:sz w:val="17"/>
              </w:rPr>
              <w:t>Sửa lỗi hiển thị sai cước sau khuyến mãi</w:t>
            </w:r>
          </w:p>
        </w:tc>
        <w:tc>
          <w:tcPr>
            <w:tcW w:type="dxa" w:w="2045"/>
            <w:vAlign w:val="center"/>
          </w:tcPr>
          <w:p>
            <w:pPr>
              <w:spacing w:after="20"/>
            </w:pPr>
            <w:r>
              <w:rPr>
                <w:rFonts w:ascii="Times New Roman" w:hAnsi="Times New Roman"/>
                <w:sz w:val="17"/>
              </w:rPr>
              <w:t>2</w:t>
            </w:r>
          </w:p>
        </w:tc>
        <w:tc>
          <w:tcPr>
            <w:tcW w:type="dxa" w:w="2045"/>
            <w:vAlign w:val="center"/>
          </w:tcPr>
          <w:p>
            <w:pPr>
              <w:spacing w:after="20"/>
            </w:pPr>
            <w:r>
              <w:rPr>
                <w:rFonts w:ascii="Times New Roman" w:hAnsi="Times New Roman"/>
                <w:sz w:val="17"/>
              </w:rPr>
              <w:t>Must</w:t>
            </w:r>
          </w:p>
        </w:tc>
        <w:tc>
          <w:tcPr>
            <w:tcW w:type="dxa" w:w="2045"/>
            <w:vAlign w:val="center"/>
          </w:tcPr>
          <w:p>
            <w:pPr>
              <w:spacing w:after="20"/>
            </w:pPr>
            <w:r>
              <w:rPr>
                <w:rFonts w:ascii="Times New Roman" w:hAnsi="Times New Roman"/>
                <w:sz w:val="17"/>
              </w:rPr>
              <w:t>Đang thu sai tiền khách nên phải sửa để tránh tính tiền không chính xác.</w:t>
            </w:r>
          </w:p>
        </w:tc>
      </w:tr>
      <w:tr>
        <w:tc>
          <w:tcPr>
            <w:tcW w:type="dxa" w:w="2045"/>
            <w:vAlign w:val="center"/>
          </w:tcPr>
          <w:p>
            <w:pPr>
              <w:spacing w:after="20"/>
            </w:pPr>
            <w:r>
              <w:rPr>
                <w:rFonts w:ascii="Times New Roman" w:hAnsi="Times New Roman"/>
                <w:sz w:val="17"/>
              </w:rPr>
              <w:t>2</w:t>
            </w:r>
          </w:p>
        </w:tc>
        <w:tc>
          <w:tcPr>
            <w:tcW w:type="dxa" w:w="2045"/>
            <w:vAlign w:val="center"/>
          </w:tcPr>
          <w:p>
            <w:pPr>
              <w:spacing w:after="20"/>
            </w:pPr>
            <w:r>
              <w:rPr>
                <w:rFonts w:ascii="Times New Roman" w:hAnsi="Times New Roman"/>
                <w:sz w:val="17"/>
              </w:rPr>
              <w:t>Áp mã khuyến mãi khi đặt xe</w:t>
            </w:r>
          </w:p>
        </w:tc>
        <w:tc>
          <w:tcPr>
            <w:tcW w:type="dxa" w:w="2045"/>
            <w:vAlign w:val="center"/>
          </w:tcPr>
          <w:p>
            <w:pPr>
              <w:spacing w:after="20"/>
            </w:pPr>
            <w:r>
              <w:rPr>
                <w:rFonts w:ascii="Times New Roman" w:hAnsi="Times New Roman"/>
                <w:sz w:val="17"/>
              </w:rPr>
              <w:t>2</w:t>
            </w:r>
          </w:p>
        </w:tc>
        <w:tc>
          <w:tcPr>
            <w:tcW w:type="dxa" w:w="2045"/>
            <w:vAlign w:val="center"/>
          </w:tcPr>
          <w:p>
            <w:pPr>
              <w:spacing w:after="20"/>
            </w:pPr>
            <w:r>
              <w:rPr>
                <w:rFonts w:ascii="Times New Roman" w:hAnsi="Times New Roman"/>
                <w:sz w:val="17"/>
              </w:rPr>
              <w:t>Must</w:t>
            </w:r>
          </w:p>
        </w:tc>
        <w:tc>
          <w:tcPr>
            <w:tcW w:type="dxa" w:w="2045"/>
            <w:vAlign w:val="center"/>
          </w:tcPr>
          <w:p>
            <w:pPr>
              <w:spacing w:after="20"/>
            </w:pPr>
            <w:r>
              <w:rPr>
                <w:rFonts w:ascii="Times New Roman" w:hAnsi="Times New Roman"/>
                <w:sz w:val="17"/>
              </w:rPr>
              <w:t>Đây là chức năng chính gắn trực tiếp với chương trình “Tháng khuyến mãi”.</w:t>
            </w:r>
          </w:p>
        </w:tc>
      </w:tr>
      <w:tr>
        <w:tc>
          <w:tcPr>
            <w:tcW w:type="dxa" w:w="2045"/>
            <w:vAlign w:val="center"/>
          </w:tcPr>
          <w:p>
            <w:pPr>
              <w:spacing w:after="20"/>
            </w:pPr>
            <w:r>
              <w:rPr>
                <w:rFonts w:ascii="Times New Roman" w:hAnsi="Times New Roman"/>
                <w:sz w:val="17"/>
              </w:rPr>
              <w:t>3</w:t>
            </w:r>
          </w:p>
        </w:tc>
        <w:tc>
          <w:tcPr>
            <w:tcW w:type="dxa" w:w="2045"/>
            <w:vAlign w:val="center"/>
          </w:tcPr>
          <w:p>
            <w:pPr>
              <w:spacing w:after="20"/>
            </w:pPr>
            <w:r>
              <w:rPr>
                <w:rFonts w:ascii="Times New Roman" w:hAnsi="Times New Roman"/>
                <w:sz w:val="17"/>
              </w:rPr>
              <w:t>Thanh toán bằng ví RikkeiPay</w:t>
            </w:r>
          </w:p>
        </w:tc>
        <w:tc>
          <w:tcPr>
            <w:tcW w:type="dxa" w:w="2045"/>
            <w:vAlign w:val="center"/>
          </w:tcPr>
          <w:p>
            <w:pPr>
              <w:spacing w:after="20"/>
            </w:pPr>
            <w:r>
              <w:rPr>
                <w:rFonts w:ascii="Times New Roman" w:hAnsi="Times New Roman"/>
                <w:sz w:val="17"/>
              </w:rPr>
              <w:t>3</w:t>
            </w:r>
          </w:p>
        </w:tc>
        <w:tc>
          <w:tcPr>
            <w:tcW w:type="dxa" w:w="2045"/>
            <w:vAlign w:val="center"/>
          </w:tcPr>
          <w:p>
            <w:pPr>
              <w:spacing w:after="20"/>
            </w:pPr>
            <w:r>
              <w:rPr>
                <w:rFonts w:ascii="Times New Roman" w:hAnsi="Times New Roman"/>
                <w:sz w:val="17"/>
              </w:rPr>
              <w:t>Should</w:t>
            </w:r>
          </w:p>
        </w:tc>
        <w:tc>
          <w:tcPr>
            <w:tcW w:type="dxa" w:w="2045"/>
            <w:vAlign w:val="center"/>
          </w:tcPr>
          <w:p>
            <w:pPr>
              <w:spacing w:after="20"/>
            </w:pPr>
            <w:r>
              <w:rPr>
                <w:rFonts w:ascii="Times New Roman" w:hAnsi="Times New Roman"/>
                <w:sz w:val="17"/>
              </w:rPr>
              <w:t>Có thêm lựa chọn thanh toán, nhưng khách vẫn có thể trả tiền mặt.</w:t>
            </w:r>
          </w:p>
        </w:tc>
      </w:tr>
      <w:tr>
        <w:tc>
          <w:tcPr>
            <w:tcW w:type="dxa" w:w="2045"/>
            <w:vAlign w:val="center"/>
          </w:tcPr>
          <w:p>
            <w:pPr>
              <w:spacing w:after="20"/>
            </w:pPr>
            <w:r>
              <w:rPr>
                <w:rFonts w:ascii="Times New Roman" w:hAnsi="Times New Roman"/>
                <w:sz w:val="17"/>
              </w:rPr>
              <w:t>4</w:t>
            </w:r>
          </w:p>
        </w:tc>
        <w:tc>
          <w:tcPr>
            <w:tcW w:type="dxa" w:w="2045"/>
            <w:vAlign w:val="center"/>
          </w:tcPr>
          <w:p>
            <w:pPr>
              <w:spacing w:after="20"/>
            </w:pPr>
            <w:r>
              <w:rPr>
                <w:rFonts w:ascii="Times New Roman" w:hAnsi="Times New Roman"/>
                <w:sz w:val="17"/>
              </w:rPr>
              <w:t>Hẹn giờ đặt xe trước</w:t>
            </w:r>
          </w:p>
        </w:tc>
        <w:tc>
          <w:tcPr>
            <w:tcW w:type="dxa" w:w="2045"/>
            <w:vAlign w:val="center"/>
          </w:tcPr>
          <w:p>
            <w:pPr>
              <w:spacing w:after="20"/>
            </w:pPr>
            <w:r>
              <w:rPr>
                <w:rFonts w:ascii="Times New Roman" w:hAnsi="Times New Roman"/>
                <w:sz w:val="17"/>
              </w:rPr>
              <w:t>3</w:t>
            </w:r>
          </w:p>
        </w:tc>
        <w:tc>
          <w:tcPr>
            <w:tcW w:type="dxa" w:w="2045"/>
            <w:vAlign w:val="center"/>
          </w:tcPr>
          <w:p>
            <w:pPr>
              <w:spacing w:after="20"/>
            </w:pPr>
            <w:r>
              <w:rPr>
                <w:rFonts w:ascii="Times New Roman" w:hAnsi="Times New Roman"/>
                <w:sz w:val="17"/>
              </w:rPr>
              <w:t>Must</w:t>
            </w:r>
          </w:p>
        </w:tc>
        <w:tc>
          <w:tcPr>
            <w:tcW w:type="dxa" w:w="2045"/>
            <w:vAlign w:val="center"/>
          </w:tcPr>
          <w:p>
            <w:pPr>
              <w:spacing w:after="20"/>
            </w:pPr>
            <w:r>
              <w:rPr>
                <w:rFonts w:ascii="Times New Roman" w:hAnsi="Times New Roman"/>
                <w:sz w:val="17"/>
              </w:rPr>
              <w:t>Được ưu tiên trong phạm vi phát hành đã chốt; cần đưa vào bản này để hoàn thành chức năng hẹn giờ đã chọn.</w:t>
            </w:r>
          </w:p>
        </w:tc>
      </w:tr>
      <w:tr>
        <w:tc>
          <w:tcPr>
            <w:tcW w:type="dxa" w:w="2045"/>
            <w:vAlign w:val="center"/>
          </w:tcPr>
          <w:p>
            <w:pPr>
              <w:spacing w:after="20"/>
            </w:pPr>
            <w:r>
              <w:rPr>
                <w:rFonts w:ascii="Times New Roman" w:hAnsi="Times New Roman"/>
                <w:sz w:val="17"/>
              </w:rPr>
              <w:t>5</w:t>
            </w:r>
          </w:p>
        </w:tc>
        <w:tc>
          <w:tcPr>
            <w:tcW w:type="dxa" w:w="2045"/>
            <w:vAlign w:val="center"/>
          </w:tcPr>
          <w:p>
            <w:pPr>
              <w:spacing w:after="20"/>
            </w:pPr>
            <w:r>
              <w:rPr>
                <w:rFonts w:ascii="Times New Roman" w:hAnsi="Times New Roman"/>
                <w:sz w:val="17"/>
              </w:rPr>
              <w:t>Chat với tài xế</w:t>
            </w:r>
          </w:p>
        </w:tc>
        <w:tc>
          <w:tcPr>
            <w:tcW w:type="dxa" w:w="2045"/>
            <w:vAlign w:val="center"/>
          </w:tcPr>
          <w:p>
            <w:pPr>
              <w:spacing w:after="20"/>
            </w:pPr>
            <w:r>
              <w:rPr>
                <w:rFonts w:ascii="Times New Roman" w:hAnsi="Times New Roman"/>
                <w:sz w:val="17"/>
              </w:rPr>
              <w:t>3</w:t>
            </w:r>
          </w:p>
        </w:tc>
        <w:tc>
          <w:tcPr>
            <w:tcW w:type="dxa" w:w="2045"/>
            <w:vAlign w:val="center"/>
          </w:tcPr>
          <w:p>
            <w:pPr>
              <w:spacing w:after="20"/>
            </w:pPr>
            <w:r>
              <w:rPr>
                <w:rFonts w:ascii="Times New Roman" w:hAnsi="Times New Roman"/>
                <w:sz w:val="17"/>
              </w:rPr>
              <w:t>Could</w:t>
            </w:r>
          </w:p>
        </w:tc>
        <w:tc>
          <w:tcPr>
            <w:tcW w:type="dxa" w:w="2045"/>
            <w:vAlign w:val="center"/>
          </w:tcPr>
          <w:p>
            <w:pPr>
              <w:spacing w:after="20"/>
            </w:pPr>
            <w:r>
              <w:rPr>
                <w:rFonts w:ascii="Times New Roman" w:hAnsi="Times New Roman"/>
                <w:sz w:val="17"/>
              </w:rPr>
              <w:t>Có thì tiện hơn, nhưng khách vẫn có thể gọi điện cho tài xế.</w:t>
            </w:r>
          </w:p>
        </w:tc>
      </w:tr>
      <w:tr>
        <w:tc>
          <w:tcPr>
            <w:tcW w:type="dxa" w:w="2045"/>
            <w:vAlign w:val="center"/>
          </w:tcPr>
          <w:p>
            <w:pPr>
              <w:spacing w:after="20"/>
            </w:pPr>
            <w:r>
              <w:rPr>
                <w:rFonts w:ascii="Times New Roman" w:hAnsi="Times New Roman"/>
                <w:sz w:val="17"/>
              </w:rPr>
              <w:t>6</w:t>
            </w:r>
          </w:p>
        </w:tc>
        <w:tc>
          <w:tcPr>
            <w:tcW w:type="dxa" w:w="2045"/>
            <w:vAlign w:val="center"/>
          </w:tcPr>
          <w:p>
            <w:pPr>
              <w:spacing w:after="20"/>
            </w:pPr>
            <w:r>
              <w:rPr>
                <w:rFonts w:ascii="Times New Roman" w:hAnsi="Times New Roman"/>
                <w:sz w:val="17"/>
              </w:rPr>
              <w:t>Giao diện trang trí cho chương trình khuyến mãi</w:t>
            </w:r>
          </w:p>
        </w:tc>
        <w:tc>
          <w:tcPr>
            <w:tcW w:type="dxa" w:w="2045"/>
            <w:vAlign w:val="center"/>
          </w:tcPr>
          <w:p>
            <w:pPr>
              <w:spacing w:after="20"/>
            </w:pPr>
            <w:r>
              <w:rPr>
                <w:rFonts w:ascii="Times New Roman" w:hAnsi="Times New Roman"/>
                <w:sz w:val="17"/>
              </w:rPr>
              <w:t>2</w:t>
            </w:r>
          </w:p>
        </w:tc>
        <w:tc>
          <w:tcPr>
            <w:tcW w:type="dxa" w:w="2045"/>
            <w:vAlign w:val="center"/>
          </w:tcPr>
          <w:p>
            <w:pPr>
              <w:spacing w:after="20"/>
            </w:pPr>
            <w:r>
              <w:rPr>
                <w:rFonts w:ascii="Times New Roman" w:hAnsi="Times New Roman"/>
                <w:sz w:val="17"/>
              </w:rPr>
              <w:t>Won’t</w:t>
            </w:r>
          </w:p>
        </w:tc>
        <w:tc>
          <w:tcPr>
            <w:tcW w:type="dxa" w:w="2045"/>
            <w:vAlign w:val="center"/>
          </w:tcPr>
          <w:p>
            <w:pPr>
              <w:spacing w:after="20"/>
            </w:pPr>
            <w:r>
              <w:rPr>
                <w:rFonts w:ascii="Times New Roman" w:hAnsi="Times New Roman"/>
                <w:sz w:val="17"/>
              </w:rPr>
              <w:t>Chưa làm trong bản phát hành này vì không quyết định việc tính cước và áp dụng khuyến mãi có hoạt động hay không.</w:t>
            </w:r>
          </w:p>
        </w:tc>
      </w:tr>
    </w:tbl>
    <w:p>
      <w:pPr>
        <w:pStyle w:val="Heading2"/>
      </w:pPr>
      <w:r>
        <w:t>Danh sách đưa vào Sprint (tổng năng lực 10 điểm)</w:t>
      </w:r>
    </w:p>
    <w:p>
      <w:pPr>
        <w:pStyle w:val="ListBullet"/>
      </w:pPr>
      <w:r>
        <w:t>1. Sửa lỗi hiển thị sai cước sau khuyến mãi — 2 điểm (Must).</w:t>
      </w:r>
    </w:p>
    <w:p>
      <w:pPr>
        <w:pStyle w:val="ListBullet"/>
      </w:pPr>
      <w:r>
        <w:t>2. Áp mã khuyến mãi khi đặt xe — 2 điểm (Must).</w:t>
      </w:r>
    </w:p>
    <w:p>
      <w:pPr>
        <w:pStyle w:val="ListBullet"/>
      </w:pPr>
      <w:r>
        <w:t>3. Thanh toán bằng ví RikkeiPay — 3 điểm (Should).</w:t>
      </w:r>
    </w:p>
    <w:p>
      <w:pPr>
        <w:pStyle w:val="ListBullet"/>
      </w:pPr>
      <w:r>
        <w:t>4. Hẹn giờ đặt xe trước — 3 điểm (Must).</w:t>
      </w:r>
    </w:p>
    <w:p>
      <w:r>
        <w:t>Tổng điểm Sprint: 2 + 2 + 3 + 3 = 10 điểm, đúng năng lực của đội.</w:t>
      </w:r>
    </w:p>
    <w:p>
      <w:r>
        <w:t>Tổng điểm Must: 2 + 2 + 3 = 7 điểm.</w:t>
      </w:r>
    </w:p>
    <w:p>
      <w:r>
        <w:t>Tỷ lệ Must = 7 / 10 × 100% = 70%. Tỷ lệ này hơi cao hơn mức khoảng 60%, nhưng vẫn gần mục tiêu và các hạng mục được tính theo điểm nguyên có sẵn.</w:t>
      </w:r>
    </w:p>
    <w:p>
      <w:r>
        <w:t>Thông báo cho bên liên quan: Hạng mục #6 (giao diện trang trí khuyến mãi) được xếp Won’t trong bản phát hành cuối Sprint tới; nhóm sẽ xem xét lại ở bản phát hành sau. Hạng mục #5 chưa được đưa vào Sprint vì giới hạn năng lực.</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eastAsia="Times New Roman"/>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Times New Roman"/>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eastAsia="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Times New Roman" w:hAnsi="Times New Roman" w:eastAsia="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Times New Roman" w:hAnsi="Times New Roman" w:eastAsia="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Times New Roman" w:hAnsi="Times New Roman" w:eastAsia="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Times New Roman" w:hAnsi="Times New Roman" w:eastAsia="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Times New Roman" w:hAnsi="Times New Roman" w:eastAsia="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eastAsia="Times New Roman"/>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eastAsia="Times New Roman"/>
    </w:rPr>
  </w:style>
  <w:style w:type="paragraph" w:styleId="BodyText">
    <w:name w:val="Body Text"/>
    <w:basedOn w:val="Normal"/>
    <w:link w:val="BodyTextChar"/>
    <w:uiPriority w:val="99"/>
    <w:unhideWhenUsed/>
    <w:rsid w:val="00AA1D8D"/>
    <w:pPr>
      <w:spacing w:after="120"/>
    </w:pPr>
    <w:rPr>
      <w:rFonts w:ascii="Times New Roman" w:hAnsi="Times New Roman" w:eastAsia="Times New Roman"/>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Times New Roman" w:hAnsi="Times New Roman" w:eastAsia="Times New Roman"/>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Times New Roman" w:hAnsi="Times New Roman" w:eastAsia="Times New Roman"/>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Times New Roman" w:hAnsi="Times New Roman" w:eastAsia="Times New Roman"/>
    </w:rPr>
  </w:style>
  <w:style w:type="paragraph" w:styleId="List2">
    <w:name w:val="List 2"/>
    <w:basedOn w:val="Normal"/>
    <w:uiPriority w:val="99"/>
    <w:unhideWhenUsed/>
    <w:rsid w:val="00326F90"/>
    <w:pPr>
      <w:ind w:left="720" w:hanging="360"/>
      <w:contextualSpacing/>
    </w:pPr>
    <w:rPr>
      <w:rFonts w:ascii="Times New Roman" w:hAnsi="Times New Roman" w:eastAsia="Times New Roman"/>
    </w:rPr>
  </w:style>
  <w:style w:type="paragraph" w:styleId="List3">
    <w:name w:val="List 3"/>
    <w:basedOn w:val="Normal"/>
    <w:uiPriority w:val="99"/>
    <w:unhideWhenUsed/>
    <w:rsid w:val="00326F90"/>
    <w:pPr>
      <w:ind w:left="1080" w:hanging="360"/>
      <w:contextualSpacing/>
    </w:pPr>
    <w:rPr>
      <w:rFonts w:ascii="Times New Roman" w:hAnsi="Times New Roman" w:eastAsia="Times New Roman"/>
    </w:r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rPr>
  </w:style>
  <w:style w:type="paragraph" w:styleId="ListBullet2">
    <w:name w:val="List Bullet 2"/>
    <w:basedOn w:val="Normal"/>
    <w:uiPriority w:val="99"/>
    <w:unhideWhenUsed/>
    <w:rsid w:val="00326F90"/>
    <w:pPr>
      <w:numPr>
        <w:numId w:val="2"/>
      </w:numPr>
      <w:contextualSpacing/>
    </w:pPr>
    <w:rPr>
      <w:rFonts w:ascii="Times New Roman" w:hAnsi="Times New Roman" w:eastAsia="Times New Roman"/>
    </w:rPr>
  </w:style>
  <w:style w:type="paragraph" w:styleId="ListBullet3">
    <w:name w:val="List Bullet 3"/>
    <w:basedOn w:val="Normal"/>
    <w:uiPriority w:val="99"/>
    <w:unhideWhenUsed/>
    <w:rsid w:val="00326F90"/>
    <w:pPr>
      <w:numPr>
        <w:numId w:val="3"/>
      </w:numPr>
      <w:contextualSpacing/>
    </w:pPr>
    <w:rPr>
      <w:rFonts w:ascii="Times New Roman" w:hAnsi="Times New Roman" w:eastAsia="Times New Roman"/>
    </w:r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rPr>
  </w:style>
  <w:style w:type="paragraph" w:styleId="ListNumber2">
    <w:name w:val="List Number 2"/>
    <w:basedOn w:val="Normal"/>
    <w:uiPriority w:val="99"/>
    <w:unhideWhenUsed/>
    <w:rsid w:val="0029639D"/>
    <w:pPr>
      <w:numPr>
        <w:numId w:val="6"/>
      </w:numPr>
      <w:contextualSpacing/>
    </w:pPr>
    <w:rPr>
      <w:rFonts w:ascii="Times New Roman" w:hAnsi="Times New Roman" w:eastAsia="Times New Roman"/>
    </w:rPr>
  </w:style>
  <w:style w:type="paragraph" w:styleId="ListNumber3">
    <w:name w:val="List Number 3"/>
    <w:basedOn w:val="Normal"/>
    <w:uiPriority w:val="99"/>
    <w:unhideWhenUsed/>
    <w:rsid w:val="0029639D"/>
    <w:pPr>
      <w:numPr>
        <w:numId w:val="7"/>
      </w:numPr>
      <w:contextualSpacing/>
    </w:pPr>
    <w:rPr>
      <w:rFonts w:ascii="Times New Roman" w:hAnsi="Times New Roman" w:eastAsia="Times New Roman"/>
    </w:rPr>
  </w:style>
  <w:style w:type="paragraph" w:styleId="ListContinue">
    <w:name w:val="List Continue"/>
    <w:basedOn w:val="Normal"/>
    <w:uiPriority w:val="99"/>
    <w:unhideWhenUsed/>
    <w:rsid w:val="0029639D"/>
    <w:pPr>
      <w:spacing w:after="120"/>
      <w:ind w:left="360"/>
      <w:contextualSpacing/>
    </w:pPr>
    <w:rPr>
      <w:rFonts w:ascii="Times New Roman" w:hAnsi="Times New Roman" w:eastAsia="Times New Roman"/>
    </w:rPr>
  </w:style>
  <w:style w:type="paragraph" w:styleId="ListContinue2">
    <w:name w:val="List Continue 2"/>
    <w:basedOn w:val="Normal"/>
    <w:uiPriority w:val="99"/>
    <w:unhideWhenUsed/>
    <w:rsid w:val="0029639D"/>
    <w:pPr>
      <w:spacing w:after="120"/>
      <w:ind w:left="720"/>
      <w:contextualSpacing/>
    </w:pPr>
    <w:rPr>
      <w:rFonts w:ascii="Times New Roman" w:hAnsi="Times New Roman" w:eastAsia="Times New Roman"/>
    </w:rPr>
  </w:style>
  <w:style w:type="paragraph" w:styleId="ListContinue3">
    <w:name w:val="List Continue 3"/>
    <w:basedOn w:val="Normal"/>
    <w:uiPriority w:val="99"/>
    <w:unhideWhenUsed/>
    <w:rsid w:val="0029639D"/>
    <w:pPr>
      <w:spacing w:after="120"/>
      <w:ind w:left="1080"/>
      <w:contextualSpacing/>
    </w:pPr>
    <w:rPr>
      <w:rFonts w:ascii="Times New Roman" w:hAnsi="Times New Roman" w:eastAsia="Times New Roman"/>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Times New Roman" w:hAnsi="Times New Roman" w:eastAsia="Times New Roman"/>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Times New Roman" w:hAnsi="Times New Roman" w:eastAsia="Times New Roman"/>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eastAsia="Times New Roman"/>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