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TUẦN 4</w:t>
      </w:r>
    </w:p>
    <w:p>
      <w:r>
        <w:t>Dự báo nhu cầu di chuyển theo khu vực và thời gian tại Thành phố Hồ Chí Minh</w:t>
      </w:r>
    </w:p>
    <w:p>
      <w:r>
        <w:t>Đánh giá dự đoán gốc và kiểm thử hệ thống monitoring</w:t>
        <w:br/>
        <w:t>Người thực hiện Nguyễn Trường An</w:t>
        <w:br/>
        <w:t>Cập nhật kết quả đến ngày 09 tháng 10 năm 2026</w:t>
      </w:r>
    </w:p>
    <w:p>
      <w:pPr>
        <w:pStyle w:val="Heading1"/>
      </w:pPr>
      <w:r>
        <w:t>1 Mục tiêu và kết quả chính</w:t>
      </w:r>
    </w:p>
    <w:p>
      <w:r>
        <w:t>Trong tuần 4, em tiếp tục từ cấu hình mô hình đã phân tích ở tuần 3, tập trung vào hai việc: kiểm tra độ lệch dự đoán tại các hex có nhu cầu cao và kiểm chứng hệ thống giám sát khi pipeline chạy tự động. Quyết định hiện tại là giữ dự đoán gốc, chưa áp dụng hiệu chỉnh sau dự đoán; đồng thời dùng monitoring để phát hiện dữ liệu thiếu, dự báo phát hành trễ và thay đổi phân phối đầu ra.</w:t>
      </w:r>
    </w:p>
    <w:p>
      <w:r>
        <w:t>Trên tập TEST của notebook, nhóm actual demand &gt;30 có WMAPE 10,22–14,11% và bias −2,43% đến −0,66% tùy mô hình. Sai số xuất hiện ở cả hai chiều; H60 vẫn khó hơn H10/H30. Các kết quả ủng hộ việc chưa bù đồng loạt, nhưng không chứng minh hiệu chỉnh theo nhóm sẽ không bao giờ hữu ích.</w:t>
      </w:r>
    </w:p>
    <w:p>
      <w:r>
        <w:t>Hệ thống giám sát đã cung cấp được kết quả theo cửa sổ thời gian, phát hiện một đợt phát hành trễ khi khởi động Airflow và chỉ ra sự không đồng nhất giữa phạm vi hex được dự đoán với phạm vi có actual. Bộ kiểm thử trên máy triển khai ghi nhận 105 ca đạt, một ca XFAIL đã biết; kiểm tra kết nối live được người thực hiện xác nhận đều đạt.</w:t>
      </w:r>
    </w:p>
    <w:p>
      <w:pPr>
        <w:pStyle w:val="Heading2"/>
      </w:pPr>
      <w:r>
        <w:t>Mối liên hệ với các tuần trước</w:t>
      </w:r>
    </w:p>
    <w:p>
      <w:r>
        <w:t>Tuần 1–2 xây dựng nền tảng dữ liệu, mô hình và luồng chạy tự động bằng Docker, PostgreSQL, Airflow. Tuần 3 phân tích mô hình cũ và mới, chọn feature nhu cầu gần nhất cùng thông tin lân cận phù hợp từng horizon. Tuần 4 chuyển trọng tâm sang quyết định hậu xử lý và khả năng quan sát, kiểm thử luồng vận hành.</w:t>
      </w:r>
    </w:p>
    <w:p>
      <w:pPr>
        <w:pStyle w:val="Heading2"/>
      </w:pPr>
      <w:r>
        <w:t>Phạm vi bằng chứng</w:t>
      </w:r>
    </w:p>
    <w:p>
      <w:r>
        <w:t>Notebook và luồng serving hiện sử dụng dữ liệu giả lập. Báo cáo dựa trên output đã lưu, source được cung cấp và các ảnh dashboard ngày 09/10/2026; không huấn luyện lại để tạo kết quả mới khi viết báo cáo. Các quan sát live chỉ bao phủ những khung giờ đã gửi, chưa tương đương một thử nghiệm ổn định dài hạn hoặc nghiệm thu production.</w:t>
      </w:r>
    </w:p>
    <w:p>
      <w:r>
        <w:br w:type="page"/>
      </w:r>
    </w:p>
    <w:p>
      <w:pPr>
        <w:pStyle w:val="Heading1"/>
      </w:pPr>
      <w:r>
        <w:t>2 Thiết kế đánh giá và cấu hình mô hình</w:t>
      </w:r>
    </w:p>
    <w:p>
      <w:r>
        <w:t>Sáu mô hình LightGBM được tách theo Car, Motorcycle và horizon 10, 30, 60 phút. Tại mốc T, target là tổng demand trong [T, T+H). Notebook giữ nhóm feature đã chốt và chỉ fit trên TRAIN; validation và TEST không được dùng để học mức bù trong lần chạy tuần 4.</w:t>
      </w:r>
    </w:p>
    <w:tbl>
      <w:tblPr>
        <w:tblW w:type="auto" w:w="0"/>
        <w:tblLayout w:type="fixed"/>
        <w:tblLook w:firstColumn="1" w:firstRow="1" w:lastColumn="0" w:lastRow="0" w:noHBand="0" w:noVBand="1" w:val="04A0"/>
      </w:tblPr>
      <w:tblGrid>
        <w:gridCol w:w="2880"/>
        <w:gridCol w:w="1440"/>
        <w:gridCol w:w="1440"/>
        <w:gridCol w:w="1440"/>
        <w:gridCol w:w="2880"/>
      </w:tblGrid>
      <w:tr>
        <w:trPr>
          <w:cantSplit/>
          <w:tblHeader/>
        </w:trPr>
        <w:tc>
          <w:tcPr>
            <w:tcW w:type="dxa" w:w="288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Mô hình</w:t>
            </w:r>
          </w:p>
        </w:tc>
        <w:tc>
          <w:tcPr>
            <w:tcW w:type="dxa" w:w="144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Feature</w:t>
            </w:r>
          </w:p>
        </w:tc>
        <w:tc>
          <w:tcPr>
            <w:tcW w:type="dxa" w:w="144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Số lá</w:t>
            </w:r>
          </w:p>
        </w:tc>
        <w:tc>
          <w:tcPr>
            <w:tcW w:type="dxa" w:w="144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Số cây</w:t>
            </w:r>
          </w:p>
        </w:tc>
        <w:tc>
          <w:tcPr>
            <w:tcW w:type="dxa" w:w="288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Dòng TRAIN</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H10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25</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63</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633</w:t>
            </w:r>
          </w:p>
        </w:tc>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1.648.849</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H30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33</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763</w:t>
            </w:r>
          </w:p>
        </w:tc>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1.647.008</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H60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33</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799</w:t>
            </w:r>
          </w:p>
        </w:tc>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1.645.430</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H10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25</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63</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762</w:t>
            </w:r>
          </w:p>
        </w:tc>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1.441.586</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H30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33</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63</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795</w:t>
            </w:r>
          </w:p>
        </w:tc>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1.439.780</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H60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33</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792</w:t>
            </w:r>
          </w:p>
        </w:tc>
        <w:tc>
          <w:tcPr>
            <w:tcW w:type="dxa" w:w="288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1.438.232</w:t>
            </w:r>
          </w:p>
        </w:tc>
      </w:tr>
    </w:tbl>
    <w:p>
      <w:pPr>
        <w:spacing w:after="0"/>
      </w:pPr>
    </w:p>
    <w:p>
      <w:r>
        <w:rPr>
          <w:i/>
          <w:sz w:val="17"/>
        </w:rPr>
        <w:t>Nguồn: hieuchinh (1).ipynb, output cell 16. Cell trong báo cáo được đánh số từ 0.</w:t>
      </w:r>
    </w:p>
    <w:p>
      <w:r>
        <w:t>Validation bắt đầu 16/07/2026 lúc 09:40; TEST bắt đầu 15/08/2026 lúc 09:40 theo giờ Việt Nam. Nhãn vượt qua ranh giới thời gian được purge. Dự đoán được chặn không âm rồi làm tròn, không cộng/trừ bias và không học hệ số hiệu chỉnh.</w:t>
      </w:r>
    </w:p>
    <w:p>
      <w:pPr>
        <w:pStyle w:val="Heading2"/>
      </w:pPr>
      <w:r>
        <w:t>Định nghĩa nhóm nhu cầu cao</w:t>
      </w:r>
    </w:p>
    <w:p>
      <w:r>
        <w:t>Dự đoán toàn bộ TEST trước, sau đó lọc các dòng actual &gt;30 để thống kê theo hex. Đây là nhu cầu cao tại từng thời điểm, không phải chọn hex có demand trung bình &gt;30. Ngưỡng giống nhau cho H10/H30/H60, nhưng target dài hơn thường lớn hơn nên ba tập được lọc không tương đương về mức độ hiếm. Không so trực tiếp số lượng mẫu cao giữa các horizon để kết luận model nào tốt hơn.</w:t>
      </w:r>
    </w:p>
    <w:p>
      <w:pPr>
        <w:pStyle w:val="Heading2"/>
      </w:pPr>
      <w:r>
        <w:t>Các chỉ số cần đọc cùng nhau</w:t>
      </w:r>
    </w:p>
    <w:p>
      <w:r>
        <w:t>WMAPE = 100 × Σ|prediction − actual| / Σactual. Bias = 100 × Σ(prediction − actual) / Σactual; âm là dự đoán thiếu. Lệch trên trung bình là trung bình 100 × (prediction − actual)/actual chỉ trên các dòng dư. Lệch dưới trung bình là trung bình 100 × (actual − prediction)/actual chỉ trên các dòng thiếu, được biểu diễn bằng số dương.</w:t>
      </w:r>
    </w:p>
    <w:p>
      <w:r>
        <w:t>Tỷ lệ trong ±15% đo phần trăm dòng có sai số tương đối không vượt 15%; không lấy 100 − WMAPE làm accuracy. Một hex được gắn đủ mẫu khi có ít nhất 20 dòng demand cao trên ít nhất 3 ngày. Đây là điều kiện mô tả tối thiểu, không phải kiểm định thống kê.</w:t>
      </w:r>
    </w:p>
    <w:p>
      <w:r>
        <w:t>Các số TEST dùng để mô tả và đưa ra nhận định trong báo cáo. Nếu sau này thử chọn hoặc học một cách hiệu chỉnh từ các kết quả này, cần đánh giá lại trên giai đoạn chưa sử dụng; không coi chính TEST đã xem là bằng chứng độc lập cho phương án mới.</w:t>
      </w:r>
    </w:p>
    <w:p>
      <w:r>
        <w:br w:type="page"/>
      </w:r>
    </w:p>
    <w:p>
      <w:pPr>
        <w:pStyle w:val="Heading1"/>
      </w:pPr>
      <w:r>
        <w:t>3 Kết quả trên nhóm demand lớn hơn 30</w:t>
      </w:r>
    </w:p>
    <w:tbl>
      <w:tblPr>
        <w:tblW w:type="auto" w:w="0"/>
        <w:tblLayout w:type="fixed"/>
        <w:tblLook w:firstColumn="1" w:firstRow="1" w:lastColumn="0" w:lastRow="0" w:noHBand="0" w:noVBand="1" w:val="04A0"/>
      </w:tblPr>
      <w:tblGrid>
        <w:gridCol w:w="2160"/>
        <w:gridCol w:w="1440"/>
        <w:gridCol w:w="1224"/>
        <w:gridCol w:w="1224"/>
        <w:gridCol w:w="1296"/>
        <w:gridCol w:w="1152"/>
        <w:gridCol w:w="1584"/>
      </w:tblGrid>
      <w:tr>
        <w:trPr>
          <w:cantSplit/>
          <w:tblHeader/>
        </w:trPr>
        <w:tc>
          <w:tcPr>
            <w:tcW w:type="dxa" w:w="216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Mô hình</w:t>
            </w:r>
          </w:p>
        </w:tc>
        <w:tc>
          <w:tcPr>
            <w:tcW w:type="dxa" w:w="144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Dòng cao</w:t>
            </w:r>
          </w:p>
        </w:tc>
        <w:tc>
          <w:tcPr>
            <w:tcW w:type="dxa" w:w="1224"/>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Hex có mẫu</w:t>
            </w:r>
          </w:p>
        </w:tc>
        <w:tc>
          <w:tcPr>
            <w:tcW w:type="dxa" w:w="1224"/>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Hex đủ mẫu</w:t>
            </w:r>
          </w:p>
        </w:tc>
        <w:tc>
          <w:tcPr>
            <w:tcW w:type="dxa" w:w="1296"/>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WMAPE %</w:t>
            </w:r>
          </w:p>
        </w:tc>
        <w:tc>
          <w:tcPr>
            <w:tcW w:type="dxa" w:w="1152"/>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Bias %</w:t>
            </w:r>
          </w:p>
        </w:tc>
        <w:tc>
          <w:tcPr>
            <w:tcW w:type="dxa" w:w="1584"/>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Trong ±15%</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H10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46.267</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136</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80</w:t>
            </w:r>
          </w:p>
        </w:tc>
        <w:tc>
          <w:tcPr>
            <w:tcW w:type="dxa" w:w="129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11,22</w:t>
            </w:r>
          </w:p>
        </w:tc>
        <w:tc>
          <w:tcPr>
            <w:tcW w:type="dxa" w:w="11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−2,43</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69,89</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H30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149.767</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186</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164</w:t>
            </w:r>
          </w:p>
        </w:tc>
        <w:tc>
          <w:tcPr>
            <w:tcW w:type="dxa" w:w="129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11,12</w:t>
            </w:r>
          </w:p>
        </w:tc>
        <w:tc>
          <w:tcPr>
            <w:tcW w:type="dxa" w:w="11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−1,43</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71,24</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H60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260.687</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188</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178</w:t>
            </w:r>
          </w:p>
        </w:tc>
        <w:tc>
          <w:tcPr>
            <w:tcW w:type="dxa" w:w="129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14,11</w:t>
            </w:r>
          </w:p>
        </w:tc>
        <w:tc>
          <w:tcPr>
            <w:tcW w:type="dxa" w:w="11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−1,27</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60,84</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H10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89.214</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161</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130</w:t>
            </w:r>
          </w:p>
        </w:tc>
        <w:tc>
          <w:tcPr>
            <w:tcW w:type="dxa" w:w="129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10,34</w:t>
            </w:r>
          </w:p>
        </w:tc>
        <w:tc>
          <w:tcPr>
            <w:tcW w:type="dxa" w:w="11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−1,47</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73,06</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H30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209.706</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170</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164</w:t>
            </w:r>
          </w:p>
        </w:tc>
        <w:tc>
          <w:tcPr>
            <w:tcW w:type="dxa" w:w="129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10,22</w:t>
            </w:r>
          </w:p>
        </w:tc>
        <w:tc>
          <w:tcPr>
            <w:tcW w:type="dxa" w:w="11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−0,73</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72,70</w:t>
            </w:r>
          </w:p>
        </w:tc>
      </w:tr>
      <w:tr>
        <w:trPr>
          <w:cantSplit/>
        </w:trPr>
        <w:tc>
          <w:tcPr>
            <w:tcW w:type="dxa" w:w="216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H60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287.620</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171</w:t>
            </w:r>
          </w:p>
        </w:tc>
        <w:tc>
          <w:tcPr>
            <w:tcW w:type="dxa" w:w="122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166</w:t>
            </w:r>
          </w:p>
        </w:tc>
        <w:tc>
          <w:tcPr>
            <w:tcW w:type="dxa" w:w="129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13,22</w:t>
            </w:r>
          </w:p>
        </w:tc>
        <w:tc>
          <w:tcPr>
            <w:tcW w:type="dxa" w:w="11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−0,66</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58,79</w:t>
            </w:r>
          </w:p>
        </w:tc>
      </w:tr>
    </w:tbl>
    <w:p>
      <w:pPr>
        <w:spacing w:after="0"/>
      </w:pPr>
    </w:p>
    <w:tbl>
      <w:tblPr>
        <w:tblW w:type="auto" w:w="0"/>
        <w:tblLayout w:type="fixed"/>
        <w:tblLook w:firstColumn="1" w:firstRow="1" w:lastColumn="0" w:lastRow="0" w:noHBand="0" w:noVBand="1" w:val="04A0"/>
      </w:tblPr>
      <w:tblGrid>
        <w:gridCol w:w="2592"/>
        <w:gridCol w:w="1872"/>
        <w:gridCol w:w="1872"/>
        <w:gridCol w:w="1872"/>
        <w:gridCol w:w="1872"/>
      </w:tblGrid>
      <w:tr>
        <w:trPr>
          <w:cantSplit/>
          <w:tblHeader/>
        </w:trPr>
        <w:tc>
          <w:tcPr>
            <w:tcW w:type="dxa" w:w="2592"/>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Mô hình</w:t>
            </w:r>
          </w:p>
        </w:tc>
        <w:tc>
          <w:tcPr>
            <w:tcW w:type="dxa" w:w="1872"/>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Lệch trên TB %</w:t>
            </w:r>
          </w:p>
        </w:tc>
        <w:tc>
          <w:tcPr>
            <w:tcW w:type="dxa" w:w="1872"/>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Lệch dưới TB %</w:t>
            </w:r>
          </w:p>
        </w:tc>
        <w:tc>
          <w:tcPr>
            <w:tcW w:type="dxa" w:w="1872"/>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Tần suất dư %</w:t>
            </w:r>
          </w:p>
        </w:tc>
        <w:tc>
          <w:tcPr>
            <w:tcW w:type="dxa" w:w="1872"/>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Tần suất thiếu %</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H10</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12,54</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12,13</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40,11</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54,65</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H30</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12,53</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11,52</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44,35</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51,14</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H60</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16,23</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13,73</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47,58</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48,88</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H10</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12,14</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11,09</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42,55</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52,29</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H30</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12,20</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10,95</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45,98</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50,09</w:t>
            </w:r>
          </w:p>
        </w:tc>
      </w:tr>
      <w:tr>
        <w:trPr>
          <w:cantSplit/>
        </w:trPr>
        <w:tc>
          <w:tcPr>
            <w:tcW w:type="dxa" w:w="25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H60</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16,92</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14,03</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48,68</w:t>
            </w:r>
          </w:p>
        </w:tc>
        <w:tc>
          <w:tcPr>
            <w:tcW w:type="dxa" w:w="187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49,08</w:t>
            </w:r>
          </w:p>
        </w:tc>
      </w:tr>
    </w:tbl>
    <w:p>
      <w:pPr>
        <w:spacing w:after="0"/>
      </w:pPr>
    </w:p>
    <w:p>
      <w:r>
        <w:rPr>
          <w:i/>
          <w:sz w:val="17"/>
        </w:rPr>
        <w:t>Nguồn: output cell 20. Đây là metric tổng hợp trực tiếp từ tất cả dòng actual &gt;30 của từng model, không phải trung bình không trọng số của các hex. Phần còn lại của tần suất là dự đoán đúng bằng actual.</w:t>
      </w:r>
    </w:p>
    <w:p>
      <w:pPr>
        <w:pStyle w:val="Heading2"/>
      </w:pPr>
      <w:r>
        <w:t>Sai số hai chiều và mức thiếu tổng thể</w:t>
      </w:r>
    </w:p>
    <w:p>
      <w:r>
        <w:t>H10/H30 có độ lệch có điều kiện khoảng 10,95–12,54% tùy chiều và model. Ở Car H10, số lần dự đoán thiếu chiếm 54,65%, cao hơn số lần dư 40,11%; bias −2,43% phản ánh mức thiếu ròng theo tổng demand. Tuy nhiên, vẫn có nhiều dòng dư, nên cộng một mức bù cho tất cả các dòng sẽ làm một bộ phận prediction đang dư lệch thêm.</w:t>
      </w:r>
    </w:p>
    <w:p>
      <w:pPr>
        <w:pStyle w:val="Heading2"/>
      </w:pPr>
      <w:r>
        <w:t>H60 vẫn cần ưu tiên theo dõi</w:t>
      </w:r>
    </w:p>
    <w:p>
      <w:r>
        <w:t>WMAPE H60 đạt 14,11% ở Car và 13,22% ở Motorcycle. Mức lệch trên trung bình tăng lên 16,23% và 16,92%; tỷ lệ nằm trong ±15% chỉ còn 60,84% và 58,79%. Như vậy khoảng 39,16% và 41,21% dòng demand cao còn nằm ngoài dải ±15%. Bias nhỏ ở H60 không đồng nghĩa sai số từng dòng nhỏ: lỗi hai chiều có thể triệt tiêu khi cộng tổng.</w:t>
      </w:r>
    </w:p>
    <w:p>
      <w:r>
        <w:t>Chỉ 80/136 hex Car H10 đạt cờ đủ mẫu, trong khi Motorcycle H60 đạt 166/171. Do đó không nên áp dụng cùng mức tin cậy cho mọi hex. Những hex ít mẫu cần tiếp tục tích lũy quan sát thay vì dùng vài lần sai số để quyết định bù.</w:t>
      </w:r>
    </w:p>
    <w:p>
      <w:r>
        <w:br w:type="page"/>
      </w:r>
    </w:p>
    <w:p>
      <w:pPr>
        <w:pStyle w:val="Heading1"/>
      </w:pPr>
      <w:r>
        <w:t>4 Dẫn chứng theo hex và quyết định chưa hiệu chỉnh</w:t>
      </w:r>
    </w:p>
    <w:p>
      <w:r>
        <w:t>Hex 8765b5662ffffff đứng đầu bảng được notebook sắp theo tổng actual ở nhóm demand &gt;30 của cả sáu model. Chọn cùng hex giúp quan sát khác biệt giữa các horizon; đây là ví dụ có lượng demand lớn, không đại diện toàn bộ vùng.</w:t>
      </w:r>
    </w:p>
    <w:tbl>
      <w:tblPr>
        <w:tblW w:type="auto" w:w="0"/>
        <w:tblLayout w:type="fixed"/>
        <w:tblLook w:firstColumn="1" w:firstRow="1" w:lastColumn="0" w:lastRow="0" w:noHBand="0" w:noVBand="1" w:val="04A0"/>
      </w:tblPr>
      <w:tblGrid>
        <w:gridCol w:w="2448"/>
        <w:gridCol w:w="1440"/>
        <w:gridCol w:w="1584"/>
        <w:gridCol w:w="1584"/>
        <w:gridCol w:w="1584"/>
        <w:gridCol w:w="1440"/>
      </w:tblGrid>
      <w:tr>
        <w:trPr>
          <w:cantSplit/>
          <w:tblHeader/>
        </w:trPr>
        <w:tc>
          <w:tcPr>
            <w:tcW w:type="dxa" w:w="2448"/>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Mô hình</w:t>
            </w:r>
          </w:p>
        </w:tc>
        <w:tc>
          <w:tcPr>
            <w:tcW w:type="dxa" w:w="144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Số dòng</w:t>
            </w:r>
          </w:p>
        </w:tc>
        <w:tc>
          <w:tcPr>
            <w:tcW w:type="dxa" w:w="1584"/>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Dư TB %</w:t>
            </w:r>
          </w:p>
        </w:tc>
        <w:tc>
          <w:tcPr>
            <w:tcW w:type="dxa" w:w="1584"/>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Thiếu TB %</w:t>
            </w:r>
          </w:p>
        </w:tc>
        <w:tc>
          <w:tcPr>
            <w:tcW w:type="dxa" w:w="1584"/>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WMAPE %</w:t>
            </w:r>
          </w:p>
        </w:tc>
        <w:tc>
          <w:tcPr>
            <w:tcW w:type="dxa" w:w="144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Bias %</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H10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2387</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11.715</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11.025</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10.883</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-2.087</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H30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3223</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11.585</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10.993</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10.749</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-2.593</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H60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3615</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15.551</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13.163</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13.405</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-3.248</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H10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2974</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10.910</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9.170</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8.796</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-0.384</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H30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3549</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10.168</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9.309</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8.547</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-1.158</w:t>
            </w:r>
          </w:p>
        </w:tc>
      </w:tr>
      <w:tr>
        <w:trPr>
          <w:cantSplit/>
        </w:trPr>
        <w:tc>
          <w:tcPr>
            <w:tcW w:type="dxa" w:w="244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H60</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3744</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13.460</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11.649</w:t>
            </w:r>
          </w:p>
        </w:tc>
        <w:tc>
          <w:tcPr>
            <w:tcW w:type="dxa" w:w="15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11.075</w:t>
            </w:r>
          </w:p>
        </w:tc>
        <w:tc>
          <w:tcPr>
            <w:tcW w:type="dxa" w:w="14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-1.720</w:t>
            </w:r>
          </w:p>
        </w:tc>
      </w:tr>
    </w:tbl>
    <w:p>
      <w:pPr>
        <w:spacing w:after="0"/>
      </w:pPr>
    </w:p>
    <w:p>
      <w:r>
        <w:rPr>
          <w:i/>
          <w:sz w:val="17"/>
        </w:rPr>
        <w:t>Nguồn: cell 18, dòng hex 8765b5662ffffff; mỗi trường hợp có 27 ngày quan sát. Số thập phân trong bảng giữ dấu chấm như output notebook.</w:t>
      </w:r>
    </w:p>
    <w:p>
      <w:r>
        <w:t>Tại hex này, Car H10 dư trung bình 11,715% khi dư và thiếu 11,025% khi thiếu; bias tổng là −2,087%. Car H60 có bias −3,248% và độ lệch hai chiều lớn hơn. Vì vậy nhu cầu hiệu chỉnh, nếu có, cần xét riêng horizon và điều kiện thời điểm, không suy từ một bias chung sang mọi prediction.</w:t>
      </w:r>
    </w:p>
    <w:p>
      <w:pPr>
        <w:pStyle w:val="Heading2"/>
      </w:pPr>
      <w:r>
        <w:t>Khác biệt ngay giữa các hex của cùng model</w:t>
      </w:r>
    </w:p>
    <w:p>
      <w:r>
        <w:t>Trong bảng Car H30, hex 8765b5666ffffff có 2.990 dòng, bias −4,518%; hex 8765b5641ffffff có 3.194 dòng, bias +0,471%; hex 8765b5640ffffff có 2.471 dòng, bias +1,890%. Các hex đều có 27 ngày quan sát. Dấu bias không đồng nhất ngay trong nhóm demand cao, nên bù tăng đồng loạt có nguy cơ làm xấu các vùng đang dư.</w:t>
      </w:r>
    </w:p>
    <w:p>
      <w:pPr>
        <w:pStyle w:val="Heading2"/>
      </w:pPr>
      <w:r>
        <w:t>Lập luận dẫn đến quyết định</w:t>
      </w:r>
    </w:p>
    <w:p>
      <w:r>
        <w:t>Thứ nhất, tổng thể nhóm demand cao còn thiếu nhẹ nhưng cả sai số dư và thiếu đều đáng kể. Thứ hai, dấu và độ lớn bias thay đổi giữa các hex; quan sát live còn cho thấy bias đổi dấu giữa các khung giờ. Thứ ba, lần đánh giá này không thực hiện một thử nghiệm hiệu chỉnh có đối chứng trên validation. Vì vậy chưa có bằng chứng đủ mạnh để thêm một tầng bù vào serving; lựa chọn hiện tại là giữ prediction gốc và giám sát các nhóm có sai lệch lặp lại.</w:t>
      </w:r>
    </w:p>
    <w:p>
      <w:r>
        <w:t>Quyết định này không khẳng định model đã tối ưu hoặc mọi phương án hiệu chỉnh đều vô ích. Nếu một hex–giờ có bias cùng chiều, đủ mẫu và lặp lại qua nhiều giai đoạn, bước tiếp theo là học hiệu chỉnh trên TRAIN/VAL, kiểm tra cả WMAPE và bias rồi đánh giá trên giai đoạn mới. Không học mức bù trực tiếp từ bảng TEST trong báo cáo.</w:t>
      </w:r>
    </w:p>
    <w:p>
      <w:r>
        <w:t>Số liệu tuần 4 cũng không được dùng để tuyên bố mô hình tốt hơn tuần 3 theo một phép so sánh tuyệt đối: notebook tuần 4 fit TRAIN_ONLY và lọc actual &gt;30, còn báo cáo trước có phạm vi và quy trình fit khác. Hai kết quả có vai trò bổ sung, không thay thế một thí nghiệm cùng điều kiện.</w:t>
      </w:r>
    </w:p>
    <w:p>
      <w:r>
        <w:br w:type="page"/>
      </w:r>
    </w:p>
    <w:p>
      <w:pPr>
        <w:pStyle w:val="Heading1"/>
      </w:pPr>
      <w:r>
        <w:t>5 Hệ thống monitoring và lịch đánh giá</w:t>
      </w:r>
    </w:p>
    <w:p>
      <w:r>
        <w:t>Em tổ chức giám sát thành ba phần để trả lời ba câu hỏi khác nhau: đầu vào có đủ và mới không; prediction có khớp actual không; phân phối đầu ra có thay đổi so với lúc fit không. Một service còn hoạt động không bảo đảm cả ba phần đều đạt yêu cầu.</w:t>
      </w:r>
    </w:p>
    <w:tbl>
      <w:tblPr>
        <w:tblW w:type="auto" w:w="0"/>
        <w:tblLayout w:type="fixed"/>
        <w:tblLook w:firstColumn="1" w:firstRow="1" w:lastColumn="0" w:lastRow="0" w:noHBand="0" w:noVBand="1" w:val="04A0"/>
      </w:tblPr>
      <w:tblGrid>
        <w:gridCol w:w="1728"/>
        <w:gridCol w:w="3600"/>
        <w:gridCol w:w="4752"/>
      </w:tblGrid>
      <w:tr>
        <w:trPr>
          <w:cantSplit/>
          <w:tblHeader/>
        </w:trPr>
        <w:tc>
          <w:tcPr>
            <w:tcW w:type="dxa" w:w="1728"/>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Thành phần</w:t>
            </w:r>
          </w:p>
        </w:tc>
        <w:tc>
          <w:tcPr>
            <w:tcW w:type="dxa" w:w="360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Chỉ số chính</w:t>
            </w:r>
          </w:p>
        </w:tc>
        <w:tc>
          <w:tcPr>
            <w:tcW w:type="dxa" w:w="4752"/>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Ý nghĩa</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Feature</w:t>
            </w:r>
          </w:p>
        </w:tc>
        <w:tc>
          <w:tcPr>
            <w:tcW w:type="dxa" w:w="360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Missing/nonfinite, tuổi source, tuổi snapshot, hex thiếu lịch sử</w:t>
            </w:r>
          </w:p>
        </w:tc>
        <w:tc>
          <w:tcPr>
            <w:tcW w:type="dxa" w:w="47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Phân biệt thiếu đầu vào với snapshot dự đoán không còn được cập nhật.</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Performance</w:t>
            </w:r>
          </w:p>
        </w:tc>
        <w:tc>
          <w:tcPr>
            <w:tcW w:type="dxa" w:w="360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WMAPE, MAE, bias, coverage, số mốc, prediction trễ</w:t>
            </w:r>
          </w:p>
        </w:tc>
        <w:tc>
          <w:tcPr>
            <w:tcW w:type="dxa" w:w="47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Đánh giá trên các mẫu đủ actual và phát hành đúng hạn; báo riêng mẫu bị loại.</w:t>
            </w:r>
          </w:p>
        </w:tc>
      </w:tr>
      <w:tr>
        <w:trPr>
          <w:cantSplit/>
        </w:trPr>
        <w:tc>
          <w:tcPr>
            <w:tcW w:type="dxa" w:w="172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Distribution</w:t>
            </w:r>
          </w:p>
        </w:tc>
        <w:tc>
          <w:tcPr>
            <w:tcW w:type="dxa" w:w="360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PSI, ngoài range, p50/p95, số mẫu, version</w:t>
            </w:r>
          </w:p>
        </w:tc>
        <w:tc>
          <w:tcPr>
            <w:tcW w:type="dxa" w:w="47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So phân phối prediction serving với prediction của final model trên tập fit đã purge.</w:t>
            </w:r>
          </w:p>
        </w:tc>
      </w:tr>
    </w:tbl>
    <w:p>
      <w:pPr>
        <w:spacing w:after="0"/>
      </w:pPr>
    </w:p>
    <w:p>
      <w:pPr>
        <w:pStyle w:val="Heading2"/>
      </w:pPr>
      <w:r>
        <w:t>Lịch và điều kiện đưa một prediction vào chấm</w:t>
      </w:r>
    </w:p>
    <w:p>
      <w:r>
        <w:t>DAG demand_live_inference chạy mỗi 10 phút. DAG demand_model_monitoring mặc định chạy mỗi giờ, lùi 1 giờ từ cuối cửa sổ cần chấm. Ví dụ task chạy lúc 11:00 đánh giá các forecast origin trong [09:00,10:00). Khung giờ được tính theo thời gian thực tế task chạy, không chỉ theo nhãn Logical Date trên Airflow.</w:t>
      </w:r>
    </w:p>
    <w:p>
      <w:r>
        <w:t>Một mẫu phải đủ H/10 bucket actual đúng lưới trong [T,T+H), đã qua T+H+120 giây và được phát hành không muộn quá T+120 giây, đồng thời trước lúc target kết thúc. Thiếu actual không được tự thay bằng 0. Mỗi lượt đánh giá lại các cửa sổ trong 48 giờ gần nhất để nhận actual đến muộn; quá khoảng này cần chạy lại có chủ đích.</w:t>
      </w:r>
    </w:p>
    <w:p>
      <w:pPr>
        <w:pStyle w:val="Heading2"/>
      </w:pPr>
      <w:r>
        <w:t>Phân phối và cảnh báo</w:t>
      </w:r>
    </w:p>
    <w:p>
      <w:r>
        <w:t>PSI dùng prediction serving trong cửa sổ 24 giờ theo issued_at và reference cùng model version. Reference lấy prediction trên TRAIN+VAL đã dùng fit, không lấy actual hoặc TEST làm phân phối tham chiếu. Cảnh báo mặc định khi PSI &gt;0,2 hoặc tỷ lệ ngoài range &gt;5%, với ít nhất 100 mẫu mỗi phía. Một cửa sổ truy vấn 24 giờ không bảo đảm đã có đủ 24 giờ dữ liệu phục vụ.</w:t>
      </w:r>
    </w:p>
    <w:p>
      <w:r>
        <w:t>Feature cảnh báo khi source hoặc snapshot cũ hơn 900 giây, hay một feature có tỷ lệ thiếu trên 5%. Ngưỡng này mô tả độ mới của bucket, không phải độ trễ truyền dữ liệu thực tế vì raw chưa có timestamp ingestion độc lập.</w:t>
      </w:r>
    </w:p>
    <w:p>
      <w:pPr>
        <w:pStyle w:val="Heading2"/>
      </w:pPr>
      <w:r>
        <w:t>Công cụ quan sát</w:t>
      </w:r>
    </w:p>
    <w:p>
      <w:r>
        <w:t>Dashboard chi tiết tại cổng 8001 phục vụ đọc từng cửa sổ và lý do trạng thái. Prometheus tại 9090 thu thập metrics và đánh giá rule; Grafana tại 3000 hiển thị diễn biến. Đường Performance trên Grafana là snapshot cửa sổ được chấm tại thời điểm scrape, không phải sai số tức thời của mỗi lần scrape. Chưa cấu hình gửi cảnh báo ra email hoặc Slack.</w:t>
      </w:r>
    </w:p>
    <w:p>
      <w:r>
        <w:br w:type="page"/>
      </w:r>
    </w:p>
    <w:p>
      <w:pPr>
        <w:pStyle w:val="Heading1"/>
      </w:pPr>
      <w:r>
        <w:t>6 Kết quả vận hành trong các khung giờ ngày 9 tháng 10</w:t>
      </w:r>
    </w:p>
    <w:p>
      <w:r>
        <w:t>Ba khung 09–10h, 10–11h và 11–12h sử dụng cùng version theo từng model trong ảnh. Bảng dưới chép lại WMAPE/bias trên các mẫu eligible. Dữ liệu phục vụ vẫn là giả lập, không phải nhu cầu thị trường thực.</w:t>
      </w:r>
    </w:p>
    <w:tbl>
      <w:tblPr>
        <w:tblW w:type="auto" w:w="0"/>
        <w:tblLayout w:type="fixed"/>
        <w:tblLook w:firstColumn="1" w:firstRow="1" w:lastColumn="0" w:lastRow="0" w:noHBand="0" w:noVBand="1" w:val="04A0"/>
      </w:tblPr>
      <w:tblGrid>
        <w:gridCol w:w="2376"/>
        <w:gridCol w:w="2563"/>
        <w:gridCol w:w="2563"/>
        <w:gridCol w:w="2578"/>
      </w:tblGrid>
      <w:tr>
        <w:trPr>
          <w:cantSplit/>
          <w:tblHeader/>
        </w:trPr>
        <w:tc>
          <w:tcPr>
            <w:tcW w:type="dxa" w:w="2376"/>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Mô hình</w:t>
            </w:r>
          </w:p>
        </w:tc>
        <w:tc>
          <w:tcPr>
            <w:tcW w:type="dxa" w:w="2563"/>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09–10h</w:t>
              <w:br/>
              <w:t>WMAPE / bias %</w:t>
            </w:r>
          </w:p>
        </w:tc>
        <w:tc>
          <w:tcPr>
            <w:tcW w:type="dxa" w:w="2563"/>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10–11h</w:t>
              <w:br/>
              <w:t>WMAPE / bias %</w:t>
            </w:r>
          </w:p>
        </w:tc>
        <w:tc>
          <w:tcPr>
            <w:tcW w:type="dxa" w:w="2578"/>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11–12h</w:t>
              <w:br/>
              <w:t>WMAPE / bias %</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H10</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11,846 / +3,433</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11,523 / +1,377</w:t>
            </w:r>
          </w:p>
        </w:tc>
        <w:tc>
          <w:tcPr>
            <w:tcW w:type="dxa" w:w="257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11,859 / −0,883</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H30</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10,799 / +3,532</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10,903 / +2,108</w:t>
            </w:r>
          </w:p>
        </w:tc>
        <w:tc>
          <w:tcPr>
            <w:tcW w:type="dxa" w:w="257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10,951 / −2,131</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Car H60</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12,544 / +4,538</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13,441 / +2,496</w:t>
            </w:r>
          </w:p>
        </w:tc>
        <w:tc>
          <w:tcPr>
            <w:tcW w:type="dxa" w:w="257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14,102 / −3,172</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H10</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11,254 / +2,351</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12,116 / +0,826</w:t>
            </w:r>
          </w:p>
        </w:tc>
        <w:tc>
          <w:tcPr>
            <w:tcW w:type="dxa" w:w="257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11,932 / −0,069</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H30</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10,903 / +2,325</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11,640 / +0,800</w:t>
            </w:r>
          </w:p>
        </w:tc>
        <w:tc>
          <w:tcPr>
            <w:tcW w:type="dxa" w:w="257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11,168 / −0,709</w:t>
            </w:r>
          </w:p>
        </w:tc>
      </w:tr>
      <w:tr>
        <w:trPr>
          <w:cantSplit/>
        </w:trPr>
        <w:tc>
          <w:tcPr>
            <w:tcW w:type="dxa" w:w="237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Motorcycle H60</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13,665 / +4,455</w:t>
            </w:r>
          </w:p>
        </w:tc>
        <w:tc>
          <w:tcPr>
            <w:tcW w:type="dxa" w:w="2563"/>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15,293 / +1,283</w:t>
            </w:r>
          </w:p>
        </w:tc>
        <w:tc>
          <w:tcPr>
            <w:tcW w:type="dxa" w:w="257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14,412 / −0,464</w:t>
            </w:r>
          </w:p>
        </w:tc>
      </w:tr>
    </w:tbl>
    <w:p>
      <w:pPr>
        <w:spacing w:after="0"/>
      </w:pPr>
    </w:p>
    <w:p>
      <w:r>
        <w:rPr>
          <w:i/>
          <w:sz w:val="17"/>
        </w:rPr>
        <w:t>Nguồn: ảnh Performance chụp khoảng 11:11 và 13:35 ngày 09/10/2026. Không tính WMAPE chung bằng cách lấy trung bình đơn giản các ô trong bảng.</w:t>
      </w:r>
    </w:p>
    <w:p>
      <w:pPr>
        <w:pStyle w:val="Heading2"/>
      </w:pPr>
      <w:r>
        <w:t>Prediction bám mức giảm tổng demand nhưng bias đổi dấu</w:t>
      </w:r>
    </w:p>
    <w:p>
      <w:r>
        <w:t>Từ 10–11h sang 11–12h, actual Car H10 giảm từ 7.628 xuống 5.886, prediction giảm từ 7.733 xuống 5.834. Motorcycle H10 có actual giảm từ 12.471 xuống 10.116 và prediction giảm từ 12.574 xuống 10.109. Trên tập mẫu được chấm, tổng dự đoán đã đi cùng chiều mức giảm; đây chưa phải phép thử khả năng phản ứng với từng cú tăng/giảm đột ngột tại mỗi hex.</w:t>
      </w:r>
    </w:p>
    <w:p>
      <w:r>
        <w:t>Bias của cả sáu model dương ở 10–11h nhưng âm ở 11–12h. Nếu bù tăng cố định để xử lý khung thiếu, khung đang dư có thể sai thêm. Quan sát này bổ sung cho lập luận chưa hiệu chỉnh đồng loạt; chưa chứng minh bias cân bằng trong cả ngày hoặc cả tuần.</w:t>
      </w:r>
    </w:p>
    <w:p>
      <w:pPr>
        <w:pStyle w:val="Heading2"/>
      </w:pPr>
      <w:r>
        <w:t>Phát hành trễ chỉ xuất hiện ở khung khởi động đã quan sát</w:t>
      </w:r>
    </w:p>
    <w:p>
      <w:r>
        <w:t>Khung 09–10h có đủ 6/6 mốc nhưng mỗi model có 217 prediction phát hành trễ. Car được chấm 730 mẫu, Motorcycle 640 mẫu. Ảnh Airflow cho thấy lượt mang mốc 09:00 bắt đầu lúc 09:06:30, task forecast bắt đầu 09:06:38 và DAG hoàn tất 09:06:50; người vận hành xác nhận bật Airflow lúc 09:06. Bằng chứng phù hợp với trễ lúc khởi động, không phải thời gian tính model kéo dài sáu phút.</w:t>
      </w:r>
    </w:p>
    <w:p>
      <w:r>
        <w:t>Ở hai khung 10–11h và 11–12h, số mốc đều 6/6, phát hành trễ bằng 0; mẫu chấm trở lại 876 Car và 768 Motorcycle. Điều này cho thấy các khung sau quan sát được chạy đúng hạn. Không mở rộng kết luận này thành cam kết mọi lượt trong tương lai đều đúng lịch.</w:t>
      </w:r>
    </w:p>
    <w:p>
      <w:r>
        <w:br w:type="page"/>
      </w:r>
    </w:p>
    <w:p>
      <w:pPr>
        <w:pStyle w:val="Heading1"/>
      </w:pPr>
      <w:r>
        <w:t>7 Phân tích cảnh báo và phạm vi dữ liệu</w:t>
      </w:r>
    </w:p>
    <w:p>
      <w:pPr>
        <w:pStyle w:val="Heading2"/>
      </w:pPr>
      <w:r>
        <w:t>Vì sao đủ mốc nhưng trạng thái vẫn partial actual</w:t>
      </w:r>
    </w:p>
    <w:tbl>
      <w:tblPr>
        <w:tblW w:type="auto" w:w="0"/>
        <w:tblLayout w:type="fixed"/>
        <w:tblLook w:firstColumn="1" w:firstRow="1" w:lastColumn="0" w:lastRow="0" w:noHBand="0" w:noVBand="1" w:val="04A0"/>
      </w:tblPr>
      <w:tblGrid>
        <w:gridCol w:w="5040"/>
        <w:gridCol w:w="2520"/>
        <w:gridCol w:w="2520"/>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Mỗi model trong một giờ</w:t>
            </w:r>
          </w:p>
        </w:tc>
        <w:tc>
          <w:tcPr>
            <w:tcW w:type="dxa" w:w="252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Car</w:t>
            </w:r>
          </w:p>
        </w:tc>
        <w:tc>
          <w:tcPr>
            <w:tcW w:type="dxa" w:w="2520"/>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Motorcycle</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Prediction kỳ vọng theo 217 hex × 6 mốc</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1.302</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1.302</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Mẫu có actual ở khung không trễ</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876</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768</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Tương đương hex mỗi mốc</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146</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128</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Thiếu actual</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426</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534</w:t>
            </w:r>
          </w:p>
        </w:tc>
      </w:tr>
      <w:tr>
        <w:trPr>
          <w:cantSplit/>
        </w:trPr>
        <w:tc>
          <w:tcPr>
            <w:tcW w:type="dxa" w:w="504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Đủ actual</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67,281%</w:t>
            </w:r>
          </w:p>
        </w:tc>
        <w:tc>
          <w:tcPr>
            <w:tcW w:type="dxa" w:w="2520"/>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58,986%</w:t>
            </w:r>
          </w:p>
        </w:tc>
      </w:tr>
    </w:tbl>
    <w:p>
      <w:pPr>
        <w:spacing w:after="0"/>
      </w:pPr>
    </w:p>
    <w:p>
      <w:r>
        <w:t>Source incremental_data.py chỉ sinh bản ghi cho tập active_hex_indices theo ngày, trong khi predict_and_store dự đoán toàn bộ hex. Tỷ lệ cố định qua nhiều khung và số mẫu đúng bằng 146×6, 128×6 là bằng chứng mạnh cho sự khác nhau về phạm vi. Tuy nhiên chưa truy vấn đối chiếu từng hex trong database, nên không khẳng định mọi bản ghi thiếu đều là thiếu theo thiết kế.</w:t>
      </w:r>
    </w:p>
    <w:p>
      <w:r>
        <w:t>Hệ quả là WMAPE/bias hiện mô tả phần đủ actual, chưa đại diện toàn bộ 217 hex. Coverage đang lấy toàn bộ prediction làm mẫu số; monitoring còn cần tách hex kỳ vọng có dữ liệu với hex ngoài lịch sinh dữ liệu. Không được chỉ loại các hex khó để làm đẹp coverage hoặc tự quy actual thiếu về 0.</w:t>
      </w:r>
    </w:p>
    <w:p>
      <w:pPr>
        <w:pStyle w:val="Heading2"/>
      </w:pPr>
      <w:r>
        <w:t>Feature warning không đồng nghĩa collector đã ngừng chạy</w:t>
      </w:r>
    </w:p>
    <w:p>
      <w:r>
        <w:t>Ảnh khoảng 07:00 ghi 59 hex Car và 77 hex Motorcycle thiếu lịch sử; tuổi nguồn p95 khoảng 55 giờ và 79 giờ, lớn nhất khoảng 7,3 ngày. Trong metrics gửi sau đó, snapshot mới khoảng 7 phút. Snapshot mới và source cũ có thể đồng thời xảy ra: inference vẫn chạy nhưng một số hex không có bản ghi gần đây. Source hiện báo warning cả nhóm khi có source quá cũ hoặc hex thiếu lịch sử; chưa phân biệt lịch không hoạt động với dữ liệu mất ngoài dự kiến.</w:t>
      </w:r>
    </w:p>
    <w:p>
      <w:pPr>
        <w:pStyle w:val="Heading2"/>
      </w:pPr>
      <w:r>
        <w:t>PSI cao cần đọc cùng độ phủ giờ và tập hex</w:t>
      </w:r>
    </w:p>
    <w:p>
      <w:r>
        <w:t>Ảnh Distribution khoảng 07:00 cho thấy Car H10 có PSI 0,798, p50 fit 4 so với serving 1; Motorcycle H10 có PSI 0,785, p50 fit 6 so với serving 2. Tỷ lệ ngoài range đều 0 ở các dòng đã gửi. Như vậy prediction vẫn nằm trong khoảng min–max tham chiếu nhưng tỷ trọng các mức demand khác nhau; ngoài range bằng 0 không kéo theo PSI thấp.</w:t>
      </w:r>
    </w:p>
    <w:p>
      <w:r>
        <w:t>Các khả năng góp phần gồm mẫu serving chủ yếu đêm–sáng, chưa đủ chu kỳ ngày và phạm vi hex khác tập fit. Đây là diễn giải cần kiểm chứng, không phải chứng minh model giảm chất lượng. Ảnh PSI thuộc thời điểm/version trước các ảnh Performance 09–12h, nên không ghép chúng thành một phép đo đồng thời của cùng version. Panel Grafana có trục ngoài range tới 10.000% dù data bằng 0; cần chỉnh hiển thị, chưa có bằng chứng metric thực vượt 100%.</w:t>
      </w:r>
    </w:p>
    <w:p>
      <w:r>
        <w:br w:type="page"/>
      </w:r>
    </w:p>
    <w:p>
      <w:pPr>
        <w:pStyle w:val="Heading1"/>
      </w:pPr>
      <w:r>
        <w:t>8 Kiểm thử monitoring và kết quả nghiệm thu phần mềm</w:t>
      </w:r>
    </w:p>
    <w:p>
      <w:r>
        <w:t>Em xây dựng gói monitoring_test_suite.zip với 106 ca tự động và 12 kịch bản vận hành. Các test tự động gọi code thực trong source; nhóm DB dùng PostgreSQL test riêng, schema ngẫu nhiên và dọn sau khi chạy. Dữ liệu kiểm thử có đáp án xác định, không thay đổi model hoặc dữ liệu live.</w:t>
      </w:r>
    </w:p>
    <w:tbl>
      <w:tblPr>
        <w:tblW w:type="auto" w:w="0"/>
        <w:tblLayout w:type="fixed"/>
        <w:tblLook w:firstColumn="1" w:firstRow="1" w:lastColumn="0" w:lastRow="0" w:noHBand="0" w:noVBand="1" w:val="04A0"/>
      </w:tblPr>
      <w:tblGrid>
        <w:gridCol w:w="5184"/>
        <w:gridCol w:w="1008"/>
        <w:gridCol w:w="3888"/>
      </w:tblGrid>
      <w:tr>
        <w:trPr>
          <w:cantSplit/>
          <w:tblHeader/>
        </w:trPr>
        <w:tc>
          <w:tcPr>
            <w:tcW w:type="dxa" w:w="5184"/>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Nhóm test tự động</w:t>
            </w:r>
          </w:p>
        </w:tc>
        <w:tc>
          <w:tcPr>
            <w:tcW w:type="dxa" w:w="1008"/>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Số ca</w:t>
            </w:r>
          </w:p>
        </w:tc>
        <w:tc>
          <w:tcPr>
            <w:tcW w:type="dxa" w:w="3888"/>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Kết quả trên máy triển khai</w:t>
            </w:r>
          </w:p>
        </w:tc>
      </w:tr>
      <w:tr>
        <w:trPr>
          <w:cantSplit/>
        </w:trPr>
        <w:tc>
          <w:tcPr>
            <w:tcW w:type="dxa" w:w="51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Công thức, ngưỡng, thời gian, cấu hình</w:t>
            </w:r>
          </w:p>
        </w:tc>
        <w:tc>
          <w:tcPr>
            <w:tcW w:type="dxa" w:w="100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81</w:t>
            </w:r>
          </w:p>
        </w:tc>
        <w:tc>
          <w:tcPr>
            <w:tcW w:type="dxa" w:w="388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81 PASS</w:t>
            </w:r>
          </w:p>
        </w:tc>
      </w:tr>
      <w:tr>
        <w:trPr>
          <w:cantSplit/>
        </w:trPr>
        <w:tc>
          <w:tcPr>
            <w:tcW w:type="dxa" w:w="51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API, metrics, reference và schema guard</w:t>
            </w:r>
          </w:p>
        </w:tc>
        <w:tc>
          <w:tcPr>
            <w:tcW w:type="dxa" w:w="100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w:t>
            </w:r>
          </w:p>
        </w:tc>
        <w:tc>
          <w:tcPr>
            <w:tcW w:type="dxa" w:w="388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11 PASS</w:t>
            </w:r>
          </w:p>
        </w:tc>
      </w:tr>
      <w:tr>
        <w:trPr>
          <w:cantSplit/>
        </w:trPr>
        <w:tc>
          <w:tcPr>
            <w:tcW w:type="dxa" w:w="51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PostgreSQL và chuỗi DB tới collector/API</w:t>
            </w:r>
          </w:p>
        </w:tc>
        <w:tc>
          <w:tcPr>
            <w:tcW w:type="dxa" w:w="100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w:t>
            </w:r>
          </w:p>
        </w:tc>
        <w:tc>
          <w:tcPr>
            <w:tcW w:type="dxa" w:w="388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7 PASS</w:t>
            </w:r>
          </w:p>
        </w:tc>
      </w:tr>
      <w:tr>
        <w:trPr>
          <w:cantSplit/>
        </w:trPr>
        <w:tc>
          <w:tcPr>
            <w:tcW w:type="dxa" w:w="51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Tải 24h, 48h và phân phối một triệu mẫu</w:t>
            </w:r>
          </w:p>
        </w:tc>
        <w:tc>
          <w:tcPr>
            <w:tcW w:type="dxa" w:w="100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w:t>
            </w:r>
          </w:p>
        </w:tc>
        <w:tc>
          <w:tcPr>
            <w:tcW w:type="dxa" w:w="388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 PASS</w:t>
            </w:r>
          </w:p>
        </w:tc>
      </w:tr>
      <w:tr>
        <w:trPr>
          <w:cantSplit/>
        </w:trPr>
        <w:tc>
          <w:tcPr>
            <w:tcW w:type="dxa" w:w="51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Regression tái hiện coverage và warning</w:t>
            </w:r>
          </w:p>
        </w:tc>
        <w:tc>
          <w:tcPr>
            <w:tcW w:type="dxa" w:w="100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w:t>
            </w:r>
          </w:p>
        </w:tc>
        <w:tc>
          <w:tcPr>
            <w:tcW w:type="dxa" w:w="388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 PASS</w:t>
            </w:r>
          </w:p>
        </w:tc>
      </w:tr>
      <w:tr>
        <w:trPr>
          <w:cantSplit/>
        </w:trPr>
        <w:tc>
          <w:tcPr>
            <w:tcW w:type="dxa" w:w="5184"/>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Acceptance thiếu mốc dự đoán</w:t>
            </w:r>
          </w:p>
        </w:tc>
        <w:tc>
          <w:tcPr>
            <w:tcW w:type="dxa" w:w="100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w:t>
            </w:r>
          </w:p>
        </w:tc>
        <w:tc>
          <w:tcPr>
            <w:tcW w:type="dxa" w:w="3888"/>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 XFAIL</w:t>
            </w:r>
          </w:p>
        </w:tc>
      </w:tr>
    </w:tbl>
    <w:p>
      <w:pPr>
        <w:spacing w:after="0"/>
      </w:pPr>
    </w:p>
    <w:p>
      <w:r>
        <w:rPr>
          <w:i/>
          <w:sz w:val="17"/>
        </w:rPr>
        <w:t>Nguồn: ảnh console lượt all, ghi 105 passed, 1 xfailed, 1 warning trong 4,04 giây. Warning là deprecation của TestClient, không phải cảnh báo dữ liệu nghiệp vụ.</w:t>
      </w:r>
    </w:p>
    <w:p>
      <w:pPr>
        <w:pStyle w:val="Heading2"/>
      </w:pPr>
      <w:r>
        <w:t>Các tình huống thiếu dữ liệu và cảnh báo đã kiểm tra</w:t>
      </w:r>
    </w:p>
    <w:p>
      <w:r>
        <w:t>Bộ test kiểm tra missing 0/4/5/6/100%, NaN/inf, tuổi source 899/900/901 giây, snapshot cũ, hex không có lịch sử; actual thiếu một bucket rồi bổ sung; nhãn chưa đến hạn; prediction vượt grace; reference thiếu/hỏng/sai version; PSI shift và tỷ lệ ngoài range 4/5/6%. Các ranh giới được kiểm tra để tránh nhầm dấu lớn hơn với lớn hơn hoặc bằng.</w:t>
      </w:r>
    </w:p>
    <w:p>
      <w:r>
        <w:t>Test DB xác nhận archive giữ prediction phát hành đầu tiên, join actual đúng [T,T+H) và đúng lưới, chạy lại không nhân đôi kết quả, job đồng thời bị khóa đúng và vượt row budget phải báo lỗi thay vì âm thầm cắt mẫu. Component E2E kiểm tra DB → collector → report → metrics; chưa tương đương toàn bộ Airflow và Prometheus qua mạng thật.</w:t>
      </w:r>
    </w:p>
    <w:p>
      <w:pPr>
        <w:pStyle w:val="Heading2"/>
      </w:pPr>
      <w:r>
        <w:t>Test tải và điểm chưa đạt</w:t>
      </w:r>
    </w:p>
    <w:p>
      <w:r>
        <w:t>Bài tải 24 giờ gồm 187.488 hàng, 48 giờ gồm 374.976 hàng theo 217 hex × 6 mốc/giờ × 6 model; bài phân phối dùng một triệu prediction. Đây là workload tổng hợp trong bộ nhớ, không phải đo một triệu hàng SQL hoặc tốc độ suy luận LightGBM. Tổng thời gian 4,04 giây của bộ test không đại diện độ trễ pipeline production.</w:t>
      </w:r>
    </w:p>
    <w:p>
      <w:r>
        <w:t>Ca G01 được đánh dấu XFAIL vì source hiện có thể gắn ready/alert_ready khi thiếu forecast origins nhưng các mẫu còn lại đủ điều kiện. Đây là điểm cần sửa, không được tính đạt. R01/R02 PASS chỉ xác nhận tái hiện hành vi coverage/warning hiện tại, không chứng nhận thiết kế phạm vi hex đã phù hợp nghiệp vụ.</w:t>
      </w:r>
    </w:p>
    <w:p>
      <w:r>
        <w:t>Người vận hành xác nhận sáu kiểm tra smoke đều true: monitor health/report/metrics, Grafana health, Prometheus readiness và target. Chưa thực hiện fault injection trên staging để quan sát đầy đủ pending → firing → resolved, chưa chạy soak 24–48 giờ của stack thật. Vì vậy báo cáo chỉ xác nhận logic cảnh báo đã được test, không ghi vòng đời cảnh báo vận hành đã nghiệm thu.</w:t>
      </w:r>
    </w:p>
    <w:p>
      <w:r>
        <w:br w:type="page"/>
      </w:r>
    </w:p>
    <w:p>
      <w:pPr>
        <w:pStyle w:val="Heading1"/>
      </w:pPr>
      <w:r>
        <w:t>9 Kết luận và công việc tiếp theo</w:t>
      </w:r>
    </w:p>
    <w:p>
      <w:r>
        <w:t>Tuần 4 đã bổ sung được cơ sở định lượng để giữ prediction gốc và một bộ kiểm thử cho monitoring. Ở demand &gt;30, WMAPE dao động 10,22–14,11%; bias âm nhẹ nhưng sai số hai chiều và khác biệt theo hex vẫn tồn tại. Quan sát live cho thấy bias đổi dấu giữa các cửa sổ. Do đó quyết định phù hợp là chưa thêm hiệu chỉnh đồng loạt và tiếp tục thu thập bằng chứng theo nhóm.</w:t>
      </w:r>
    </w:p>
    <w:p>
      <w:r>
        <w:t>Về vận hành, monitoring đã cho thấy các trạng thái có ý nghĩa: không có prediction khi khung đánh giá đi trước thời điểm khởi động, phát hành trễ ở lượt bật Airflow lúc 09:06, và các khung sau đủ mốc không trễ. Tuy vậy, partial_actual chưa được giải quyết; mức coverage thấp làm giới hạn phạm vi diễn giải chất lượng dự đoán.</w:t>
      </w:r>
    </w:p>
    <w:tbl>
      <w:tblPr>
        <w:tblW w:type="auto" w:w="0"/>
        <w:tblLayout w:type="fixed"/>
        <w:tblLook w:firstColumn="1" w:firstRow="1" w:lastColumn="0" w:lastRow="0" w:noHBand="0" w:noVBand="1" w:val="04A0"/>
      </w:tblPr>
      <w:tblGrid>
        <w:gridCol w:w="936"/>
        <w:gridCol w:w="4392"/>
        <w:gridCol w:w="4752"/>
      </w:tblGrid>
      <w:tr>
        <w:trPr>
          <w:cantSplit/>
          <w:tblHeader/>
        </w:trPr>
        <w:tc>
          <w:tcPr>
            <w:tcW w:type="dxa" w:w="936"/>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Ưu tiên</w:t>
            </w:r>
          </w:p>
        </w:tc>
        <w:tc>
          <w:tcPr>
            <w:tcW w:type="dxa" w:w="4392"/>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Việc cần hoàn thiện</w:t>
            </w:r>
          </w:p>
        </w:tc>
        <w:tc>
          <w:tcPr>
            <w:tcW w:type="dxa" w:w="4752"/>
            <w:tcBorders>
              <w:top w:val="single" w:sz="4" w:color="D9D9D9"/>
              <w:left w:val="single" w:sz="4" w:color="D9D9D9"/>
              <w:bottom w:val="single" w:sz="4" w:color="D9D9D9"/>
              <w:right w:val="single" w:sz="4" w:color="D9D9D9"/>
            </w:tcBorders>
            <w:shd w:fill="DCE6F1"/>
          </w:tcPr>
          <w:p>
            <w:pPr>
              <w:spacing w:before="80" w:after="80" w:line="252" w:lineRule="auto"/>
            </w:pPr>
            <w:r>
              <w:rPr>
                <w:b/>
                <w:sz w:val="18"/>
              </w:rPr>
              <w:t>Điều kiện kiểm chứng</w:t>
            </w:r>
          </w:p>
        </w:tc>
      </w:tr>
      <w:tr>
        <w:trPr>
          <w:cantSplit/>
        </w:trPr>
        <w:tc>
          <w:tcPr>
            <w:tcW w:type="dxa" w:w="93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1</w:t>
            </w:r>
          </w:p>
        </w:tc>
        <w:tc>
          <w:tcPr>
            <w:tcW w:type="dxa" w:w="43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Phân biệt hex kỳ vọng và hex ngoài lịch; giữ báo cáo trên toàn prediction</w:t>
            </w:r>
          </w:p>
        </w:tc>
        <w:tc>
          <w:tcPr>
            <w:tcW w:type="dxa" w:w="47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Đối chiếu lịch độc lập với từng hex và bucket, không biến dữ liệu thiếu thành 0.</w:t>
            </w:r>
          </w:p>
        </w:tc>
      </w:tr>
      <w:tr>
        <w:trPr>
          <w:cantSplit/>
        </w:trPr>
        <w:tc>
          <w:tcPr>
            <w:tcW w:type="dxa" w:w="93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2</w:t>
            </w:r>
          </w:p>
        </w:tc>
        <w:tc>
          <w:tcPr>
            <w:tcW w:type="dxa" w:w="43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Sửa ready khi thiếu mốc và tách cảnh báo chất lượng khỏi độ phủ</w:t>
            </w:r>
          </w:p>
        </w:tc>
        <w:tc>
          <w:tcPr>
            <w:tcW w:type="dxa" w:w="47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G01 đạt sau sửa; thiếu origins phải hiện rõ và không nhận đủ điều kiện.</w:t>
            </w:r>
          </w:p>
        </w:tc>
      </w:tr>
      <w:tr>
        <w:trPr>
          <w:cantSplit/>
        </w:trPr>
        <w:tc>
          <w:tcPr>
            <w:tcW w:type="dxa" w:w="93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3</w:t>
            </w:r>
          </w:p>
        </w:tc>
        <w:tc>
          <w:tcPr>
            <w:tcW w:type="dxa" w:w="43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Kiểm thử vòng đời alert trên staging và chỉnh đơn vị Grafana</w:t>
            </w:r>
          </w:p>
        </w:tc>
        <w:tc>
          <w:tcPr>
            <w:tcW w:type="dxa" w:w="47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Có bằng chứng pending/firing/resolved; trục tỷ lệ hiển thị đúng.</w:t>
            </w:r>
          </w:p>
        </w:tc>
      </w:tr>
      <w:tr>
        <w:trPr>
          <w:cantSplit/>
        </w:trPr>
        <w:tc>
          <w:tcPr>
            <w:tcW w:type="dxa" w:w="936"/>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4</w:t>
            </w:r>
          </w:p>
        </w:tc>
        <w:tc>
          <w:tcPr>
            <w:tcW w:type="dxa" w:w="439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Thu thập thêm nhiều ngày và các giai đoạn demand khác nhau</w:t>
            </w:r>
          </w:p>
        </w:tc>
        <w:tc>
          <w:tcPr>
            <w:tcW w:type="dxa" w:w="4752"/>
            <w:tcBorders>
              <w:top w:val="single" w:sz="4" w:color="D9D9D9"/>
              <w:left w:val="single" w:sz="4" w:color="D9D9D9"/>
              <w:bottom w:val="single" w:sz="4" w:color="D9D9D9"/>
              <w:right w:val="single" w:sz="4" w:color="D9D9D9"/>
            </w:tcBorders>
            <w:shd w:fill="FFFFFF"/>
          </w:tcPr>
          <w:p>
            <w:pPr>
              <w:spacing w:before="80" w:after="80" w:line="252" w:lineRule="auto"/>
            </w:pPr>
            <w:r>
              <w:rPr>
                <w:b w:val="0"/>
                <w:sz w:val="18"/>
              </w:rPr>
              <w:t>WMAPE/bias/coverage theo version, hex, giờ; đánh giá riêng tăng/giảm đột ngột.</w:t>
            </w:r>
          </w:p>
        </w:tc>
      </w:tr>
    </w:tbl>
    <w:p>
      <w:pPr>
        <w:spacing w:after="0"/>
      </w:pPr>
    </w:p>
    <w:p>
      <w:pPr>
        <w:pStyle w:val="Heading2"/>
      </w:pPr>
      <w:r>
        <w:t>Giới hạn cần giữ trong kết luận</w:t>
      </w:r>
    </w:p>
    <w:p>
      <w:r>
        <w:t>Chưa kết luận model bão hòa, đã giải quyết biến động đột ngột hoặc đủ điều kiện production. Không xem bias gần 0 là mọi prediction chính xác; không xem PASS phần mềm là độ chính xác mô hình đạt yêu cầu. Các thử nghiệm sửa mô hình trong tương lai cần có validation và một giai đoạn kiểm tra mới, với tiêu chí nghiệp vụ được thống nhất trước.</w:t>
      </w:r>
    </w:p>
    <w:p>
      <w:pPr>
        <w:pStyle w:val="Heading2"/>
      </w:pPr>
      <w:r>
        <w:t>Nguồn và cách đối chiếu</w:t>
      </w:r>
    </w:p>
    <w:p>
      <w:r>
        <w:t>Báo cáo tuần 1 và tuần 2 dùng để nối tiếp bối cảnh pipeline; Tuan_3_phan_tich_chi_tiet.docx bản cập nhật 07/10/2026 dùng cho quyết định feature và các giới hạn còn lại. Notebook hieuchinh (1).ipynb: cell 16 cấu hình fit; cell 18 bảng từng hex; cell 20 nhận xét sáu model. Chỉ sử dụng output đã lưu, không dựng thêm kết quả thực nghiệm.</w:t>
      </w:r>
    </w:p>
    <w:p>
      <w:r>
        <w:t>Source demand_forecasting(2).zip: monitoring_config.py, feature_monitor.py, monitoring.py, performance_monitor.py, monitoring_service.py, prediction_reference.py, incremental_data.py, predict.py và các DAG. Kết quả live lấy từ ảnh Performance các khung 09–10h, 10–11h, 11–12h; ảnh Feature/Distribution khoảng 07:00; ảnh Airflow lượt 09:00; ảnh console test và xác nhận smoke của người vận hành.</w:t>
      </w:r>
    </w:p>
    <w:p>
      <w:r>
        <w:t>Các bảng được làm tròn theo output gốc hoặc màn hình. H30/H60 có target chồng lấn giữa các forecast origin; tổng actual/prediction trong bảng đánh giá không phải tổng booking duy nhất của thành phố. Các ảnh giao diện là bằng chứng quan sát tại thời điểm chụp, không phải log đầy đủ của cả ngày.</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Tuần 4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Báo cáo tuần 4  |  Dự báo nhu cầu theo khu vực và thời gian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