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TUẦN 4</w:t>
      </w:r>
    </w:p>
    <w:p>
      <w:r>
        <w:t>Đánh giá dự đoán gốc và kết quả monitoring</w:t>
        <w:br/>
        <w:t>Người thực hiện Nguyễn Trường An | Ngày 09/10/2026</w:t>
      </w:r>
    </w:p>
    <w:p>
      <w:pPr>
        <w:pStyle w:val="Heading1"/>
      </w:pPr>
      <w:r>
        <w:t>1 Chốt giữ dự đoán gốc không áp dụng hiệu chỉnh</w:t>
      </w:r>
    </w:p>
    <w:p>
      <w:r>
        <w:t>Tuần 4 tập trung thống kê sai số tại các thời điểm có demand cao và kiểm tra hệ thống monitoring. Quyết định cho phiên bản hiện tại là giữ nguyên đầu ra mô hình, không bổ sung hiệu chỉnh sau dự đoán. Kết quả cho thấy độ lệch tổng nhỏ, trong khi lỗi dư và thiếu thay đổi theo hex và khung giờ; chưa có cơ sở đủ mạnh để bù tăng hoặc giảm đồng loạt.</w:t>
      </w:r>
    </w:p>
    <w:p>
      <w:pPr>
        <w:pStyle w:val="Heading2"/>
      </w:pPr>
      <w:r>
        <w:t>Kết quả trên tập TEST với actual lớn hơn 30</w:t>
      </w:r>
    </w:p>
    <w:tbl>
      <w:tblPr>
        <w:tblW w:type="auto" w:w="0"/>
        <w:tblLayout w:type="fixed"/>
        <w:tblLook w:firstColumn="1" w:firstRow="1" w:lastColumn="0" w:lastRow="0" w:noHBand="0" w:noVBand="1" w:val="04A0"/>
      </w:tblPr>
      <w:tblGrid>
        <w:gridCol w:w="2664"/>
        <w:gridCol w:w="1656"/>
        <w:gridCol w:w="1800"/>
        <w:gridCol w:w="1728"/>
        <w:gridCol w:w="2045"/>
      </w:tblGrid>
      <w:tr>
        <w:trPr>
          <w:cantSplit/>
          <w:tblHeader/>
        </w:trPr>
        <w:tc>
          <w:tcPr>
            <w:tcW w:type="dxa" w:w="2664"/>
            <w:vAlign w:val="center"/>
            <w:tcBorders>
              <w:top w:val="single" w:sz="4" w:color="D9D9D9"/>
              <w:bottom w:val="single" w:sz="4" w:color="D9D9D9"/>
              <w:left w:val="single" w:sz="4" w:color="D9D9D9"/>
              <w:right w:val="single" w:sz="4" w:color="D9D9D9"/>
            </w:tcBorders>
            <w:shd w:fill="DCE6F1"/>
          </w:tcPr>
          <w:p>
            <w:pPr>
              <w:spacing w:before="100" w:after="100" w:line="252" w:lineRule="auto"/>
            </w:pPr>
            <w:r>
              <w:rPr>
                <w:b/>
                <w:sz w:val="19"/>
              </w:rPr>
              <w:t>Mô hình</w:t>
            </w:r>
          </w:p>
        </w:tc>
        <w:tc>
          <w:tcPr>
            <w:tcW w:type="dxa" w:w="1656"/>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Dư TB %</w:t>
            </w:r>
          </w:p>
        </w:tc>
        <w:tc>
          <w:tcPr>
            <w:tcW w:type="dxa" w:w="1800"/>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Thiếu TB %</w:t>
            </w:r>
          </w:p>
        </w:tc>
        <w:tc>
          <w:tcPr>
            <w:tcW w:type="dxa" w:w="1728"/>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WMAPE %</w:t>
            </w:r>
          </w:p>
        </w:tc>
        <w:tc>
          <w:tcPr>
            <w:tcW w:type="dxa" w:w="2045"/>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Bias %</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H10</w:t>
            </w:r>
          </w:p>
        </w:tc>
        <w:tc>
          <w:tcPr>
            <w:tcW w:type="dxa" w:w="165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12,54</w:t>
            </w:r>
          </w:p>
        </w:tc>
        <w:tc>
          <w:tcPr>
            <w:tcW w:type="dxa" w:w="180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12,13</w:t>
            </w:r>
          </w:p>
        </w:tc>
        <w:tc>
          <w:tcPr>
            <w:tcW w:type="dxa" w:w="172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11,22</w:t>
            </w:r>
          </w:p>
        </w:tc>
        <w:tc>
          <w:tcPr>
            <w:tcW w:type="dxa" w:w="2045"/>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−2,43</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H30</w:t>
            </w:r>
          </w:p>
        </w:tc>
        <w:tc>
          <w:tcPr>
            <w:tcW w:type="dxa" w:w="165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12,53</w:t>
            </w:r>
          </w:p>
        </w:tc>
        <w:tc>
          <w:tcPr>
            <w:tcW w:type="dxa" w:w="180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11,52</w:t>
            </w:r>
          </w:p>
        </w:tc>
        <w:tc>
          <w:tcPr>
            <w:tcW w:type="dxa" w:w="172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11,12</w:t>
            </w:r>
          </w:p>
        </w:tc>
        <w:tc>
          <w:tcPr>
            <w:tcW w:type="dxa" w:w="2045"/>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−1,43</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H60</w:t>
            </w:r>
          </w:p>
        </w:tc>
        <w:tc>
          <w:tcPr>
            <w:tcW w:type="dxa" w:w="165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16,23</w:t>
            </w:r>
          </w:p>
        </w:tc>
        <w:tc>
          <w:tcPr>
            <w:tcW w:type="dxa" w:w="180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13,73</w:t>
            </w:r>
          </w:p>
        </w:tc>
        <w:tc>
          <w:tcPr>
            <w:tcW w:type="dxa" w:w="172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14,11</w:t>
            </w:r>
          </w:p>
        </w:tc>
        <w:tc>
          <w:tcPr>
            <w:tcW w:type="dxa" w:w="2045"/>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−1,27</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H10</w:t>
            </w:r>
          </w:p>
        </w:tc>
        <w:tc>
          <w:tcPr>
            <w:tcW w:type="dxa" w:w="165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12,14</w:t>
            </w:r>
          </w:p>
        </w:tc>
        <w:tc>
          <w:tcPr>
            <w:tcW w:type="dxa" w:w="180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11,09</w:t>
            </w:r>
          </w:p>
        </w:tc>
        <w:tc>
          <w:tcPr>
            <w:tcW w:type="dxa" w:w="172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10,34</w:t>
            </w:r>
          </w:p>
        </w:tc>
        <w:tc>
          <w:tcPr>
            <w:tcW w:type="dxa" w:w="2045"/>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−1,47</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H30</w:t>
            </w:r>
          </w:p>
        </w:tc>
        <w:tc>
          <w:tcPr>
            <w:tcW w:type="dxa" w:w="165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12,20</w:t>
            </w:r>
          </w:p>
        </w:tc>
        <w:tc>
          <w:tcPr>
            <w:tcW w:type="dxa" w:w="180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10,95</w:t>
            </w:r>
          </w:p>
        </w:tc>
        <w:tc>
          <w:tcPr>
            <w:tcW w:type="dxa" w:w="172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10,22</w:t>
            </w:r>
          </w:p>
        </w:tc>
        <w:tc>
          <w:tcPr>
            <w:tcW w:type="dxa" w:w="2045"/>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−0,73</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H60</w:t>
            </w:r>
          </w:p>
        </w:tc>
        <w:tc>
          <w:tcPr>
            <w:tcW w:type="dxa" w:w="165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16,92</w:t>
            </w:r>
          </w:p>
        </w:tc>
        <w:tc>
          <w:tcPr>
            <w:tcW w:type="dxa" w:w="180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14,03</w:t>
            </w:r>
          </w:p>
        </w:tc>
        <w:tc>
          <w:tcPr>
            <w:tcW w:type="dxa" w:w="172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13,22</w:t>
            </w:r>
          </w:p>
        </w:tc>
        <w:tc>
          <w:tcPr>
            <w:tcW w:type="dxa" w:w="2045"/>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−0,66</w:t>
            </w:r>
          </w:p>
        </w:tc>
      </w:tr>
    </w:tbl>
    <w:p>
      <w:pPr>
        <w:spacing w:after="0"/>
      </w:pPr>
    </w:p>
    <w:p>
      <w:pPr>
        <w:spacing w:after="140"/>
      </w:pPr>
      <w:r>
        <w:rPr>
          <w:i/>
          <w:sz w:val="18"/>
        </w:rPr>
        <w:t>Dư/thiếu trung bình tính riêng trên các dòng dự đoán dư/thiếu. Bias âm là thiếu khi cộng tổng. WMAPE đo tổng sai số tuyệt đối so với tổng actual.</w:t>
      </w:r>
    </w:p>
    <w:p>
      <w:r>
        <w:t>Đơn vị thống kê là một dòng hex–thời điểm, không phải một hex. Dự đoán toàn TEST rồi lọc actual &gt;30. H30/H60 cộng demand trong khoảng dài hơn nên có nhiều dòng vượt ngưỡng hơn H10; ba tập lọc không tương đương về mức nhu cầu.</w:t>
      </w:r>
    </w:p>
    <w:p>
      <w:pPr>
        <w:pStyle w:val="Heading2"/>
      </w:pPr>
      <w:r>
        <w:t>Cơ sở của quyết định</w:t>
      </w:r>
    </w:p>
    <w:p>
      <w:r>
        <w:t>Bias chỉ từ −2,43% đến −0,66%, nhưng mức lệch ở từng chiều khoảng 11–17%. Điều này cho thấy lỗi dư và thiếu có thể triệt tiêu khi cộng tổng. Bù theo bias chung chưa xử lý được việc dòng nào cần tăng và dòng nào cần giảm; các dòng đang dư còn có thể lệch thêm nếu cùng được bù tăng.</w:t>
      </w:r>
    </w:p>
    <w:p>
      <w:r>
        <w:t>Sự khác biệt xuất hiện ngay trong Car H30: hex 8765b5666ffffff có bias −4,518%, trong khi 8765b5641ffffff và 8765b5640ffffff có bias +0,471% và +1,890%. Cả ba có 27 ngày quan sát. Vì vậy, một mức bù chung không phù hợp với hướng sai lệch của mọi hex.</w:t>
      </w:r>
    </w:p>
    <w:p>
      <w:r>
        <w:t>Chốt không hiệu chỉnh ở phiên bản hiện tại; tiếp tục theo dõi H60 vì WMAPE cao hơn H10/H30 trong phạm vi thống kê. Chỉ xem xét lại hiệu chỉnh khi sai lệch cùng chiều lặp lại ở nhóm đủ dữ liệu và phương án thử trên validation có cải thiện rõ. Kết quả hiện tại không chứng minh mọi cách hiệu chỉnh đều vô ích.</w:t>
      </w:r>
    </w:p>
    <w:p>
      <w:r>
        <w:br w:type="page"/>
      </w:r>
    </w:p>
    <w:p>
      <w:pPr>
        <w:pStyle w:val="Heading1"/>
      </w:pPr>
      <w:r>
        <w:t>2 Monitoring và kết quả dự đoán theo giờ</w:t>
      </w:r>
    </w:p>
    <w:p>
      <w:r>
        <w:t>Monitoring gồm ba phần: đầu vào thiếu hoặc cũ; hiệu năng dự đoán so với actual; phân phối prediction serving so với reference cùng model version. Dashboard chi tiết dùng cổng 8001, Prometheus dùng 9090 và Grafana dùng 3000.</w:t>
      </w:r>
    </w:p>
    <w:p>
      <w:pPr>
        <w:pStyle w:val="Heading2"/>
      </w:pPr>
      <w:r>
        <w:t>Lịch đánh giá</w:t>
      </w:r>
    </w:p>
    <w:p>
      <w:r>
        <w:t>Inference chạy theo mốc 10 phút. Monitoring hiệu năng chạy mỗi giờ và lùi một giờ sau cuối khung: ví dụ lúc 11:00 đánh giá các mốc dự đoán trong [09:00,10:00). Mỗi dòng chỉ được chấm khi đủ actual cho horizon, đã qua thời gian chờ 120 giây và prediction phát hành trong giới hạn trễ cho phép. Cách này tránh chấm nhãn chưa hoàn tất hoặc tính dự đoán trễ như dự đoán đúng hạn.</w:t>
      </w:r>
    </w:p>
    <w:p>
      <w:pPr>
        <w:pStyle w:val="Heading2"/>
      </w:pPr>
      <w:r>
        <w:t>Kết quả ngày 09 tháng 10</w:t>
      </w:r>
    </w:p>
    <w:tbl>
      <w:tblPr>
        <w:tblW w:type="auto" w:w="0"/>
        <w:tblLayout w:type="fixed"/>
        <w:tblLook w:firstColumn="1" w:firstRow="1" w:lastColumn="0" w:lastRow="0" w:noHBand="0" w:noVBand="1" w:val="04A0"/>
      </w:tblPr>
      <w:tblGrid>
        <w:gridCol w:w="2333"/>
        <w:gridCol w:w="2520"/>
        <w:gridCol w:w="2520"/>
        <w:gridCol w:w="2520"/>
      </w:tblGrid>
      <w:tr>
        <w:trPr>
          <w:cantSplit/>
          <w:tblHeader/>
        </w:trPr>
        <w:tc>
          <w:tcPr>
            <w:tcW w:type="dxa" w:w="2333"/>
            <w:vAlign w:val="center"/>
            <w:tcBorders>
              <w:top w:val="single" w:sz="4" w:color="D9D9D9"/>
              <w:bottom w:val="single" w:sz="4" w:color="D9D9D9"/>
              <w:left w:val="single" w:sz="4" w:color="D9D9D9"/>
              <w:right w:val="single" w:sz="4" w:color="D9D9D9"/>
            </w:tcBorders>
            <w:shd w:fill="DCE6F1"/>
          </w:tcPr>
          <w:p>
            <w:pPr>
              <w:spacing w:before="100" w:after="100" w:line="252" w:lineRule="auto"/>
            </w:pPr>
            <w:r>
              <w:rPr>
                <w:b/>
                <w:sz w:val="19"/>
              </w:rPr>
              <w:t>Mô hình</w:t>
            </w:r>
          </w:p>
        </w:tc>
        <w:tc>
          <w:tcPr>
            <w:tcW w:type="dxa" w:w="2520"/>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09–10h</w:t>
              <w:br/>
              <w:t>WMAPE / bias %</w:t>
            </w:r>
          </w:p>
        </w:tc>
        <w:tc>
          <w:tcPr>
            <w:tcW w:type="dxa" w:w="2520"/>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10–11h</w:t>
              <w:br/>
              <w:t>WMAPE / bias %</w:t>
            </w:r>
          </w:p>
        </w:tc>
        <w:tc>
          <w:tcPr>
            <w:tcW w:type="dxa" w:w="2520"/>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11–12h</w:t>
              <w:br/>
              <w:t>WMAPE / bias %</w:t>
            </w:r>
          </w:p>
        </w:tc>
      </w:tr>
      <w:tr>
        <w:trPr>
          <w:cantSplit/>
        </w:trPr>
        <w:tc>
          <w:tcPr>
            <w:tcW w:type="dxa" w:w="2333"/>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H10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11,846 / +3,433</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11,523 / +1,377</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11,859 / −0,883</w:t>
            </w:r>
          </w:p>
        </w:tc>
      </w:tr>
      <w:tr>
        <w:trPr>
          <w:cantSplit/>
        </w:trPr>
        <w:tc>
          <w:tcPr>
            <w:tcW w:type="dxa" w:w="2333"/>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H30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10,799 / +3,532</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10,903 / +2,108</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10,951 / −2,131</w:t>
            </w:r>
          </w:p>
        </w:tc>
      </w:tr>
      <w:tr>
        <w:trPr>
          <w:cantSplit/>
        </w:trPr>
        <w:tc>
          <w:tcPr>
            <w:tcW w:type="dxa" w:w="2333"/>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H60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12,544 / +4,538</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13,441 / +2,496</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14,102 / −3,172</w:t>
            </w:r>
          </w:p>
        </w:tc>
      </w:tr>
      <w:tr>
        <w:trPr>
          <w:cantSplit/>
        </w:trPr>
        <w:tc>
          <w:tcPr>
            <w:tcW w:type="dxa" w:w="2333"/>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H10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11,254 / +2,351</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12,116 / +0,826</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11,932 / −0,069</w:t>
            </w:r>
          </w:p>
        </w:tc>
      </w:tr>
      <w:tr>
        <w:trPr>
          <w:cantSplit/>
        </w:trPr>
        <w:tc>
          <w:tcPr>
            <w:tcW w:type="dxa" w:w="2333"/>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H30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10,903 / +2,325</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11,640 / +0,800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11,168 / −0,709</w:t>
            </w:r>
          </w:p>
        </w:tc>
      </w:tr>
      <w:tr>
        <w:trPr>
          <w:cantSplit/>
        </w:trPr>
        <w:tc>
          <w:tcPr>
            <w:tcW w:type="dxa" w:w="2333"/>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H60</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13,665 / +4,455</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15,293 / +1,283</w:t>
            </w:r>
          </w:p>
        </w:tc>
        <w:tc>
          <w:tcPr>
            <w:tcW w:type="dxa" w:w="252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14,412 / −0,464</w:t>
            </w:r>
          </w:p>
        </w:tc>
      </w:tr>
    </w:tbl>
    <w:p>
      <w:pPr>
        <w:spacing w:after="0"/>
      </w:pPr>
    </w:p>
    <w:p>
      <w:pPr>
        <w:spacing w:after="140"/>
      </w:pPr>
      <w:r>
        <w:rPr>
          <w:i/>
          <w:sz w:val="18"/>
        </w:rPr>
        <w:t>Các khung dùng cùng version theo từng model. Metric tính trên các dòng đủ điều kiện; độ phủ actual trình bày ở mục 3.</w:t>
      </w:r>
    </w:p>
    <w:p>
      <w:r>
        <w:t>WMAPE nằm trong khoảng 10,799–15,293%, chưa có xu hướng tăng đồng loạt ở cả sáu model qua ba khung. Car H60 tăng từ 12,544% lên 14,102% nên cần theo dõi thêm. Ba khung giờ chưa đủ để kết luận ổn định dài hạn.</w:t>
      </w:r>
    </w:p>
    <w:p>
      <w:r>
        <w:t>Từ 10–11h sang 11–12h, actual Car H10 giảm 22,84% và prediction giảm 24,56%; Motorcycle H10 giảm tương ứng 18,88% và 19,60%. Dự đoán đã đi cùng chiều mức giảm tổng demand trên phần được chấm. Đây chưa phải kiểm chứng khả năng bắt biến động đột ngột tại từng hex.</w:t>
      </w:r>
    </w:p>
    <w:p>
      <w:r>
        <w:t>Cả sáu model có bias dương ở 10–11h và âm ở 11–12h. Hướng sai lệch đổi theo khung giờ là thêm một lý do giữ prediction gốc, thay vì chọn mức bù cố định từ một khung riêng lẻ.</w:t>
      </w:r>
    </w:p>
    <w:p>
      <w:pPr>
        <w:pStyle w:val="Heading2"/>
      </w:pPr>
      <w:r>
        <w:t>Phát hành trễ khi khởi động</w:t>
      </w:r>
    </w:p>
    <w:p>
      <w:r>
        <w:t>Khung 09–10h ghi nhận 217 prediction trễ ở mỗi model. Airflow được bật lúc 09:06; lượt 09:00 bắt đầu 09:06:30 và hoàn tất 09:06:50. Đây là trễ khởi động. Hai khung 10–11h và 11–12h đều có 6/6 mốc, phát hành trễ bằng 0. Giữ nguyên việc loại prediction trễ khỏi phép chấm.</w:t>
      </w:r>
    </w:p>
    <w:p>
      <w:r>
        <w:br w:type="page"/>
      </w:r>
    </w:p>
    <w:p>
      <w:pPr>
        <w:pStyle w:val="Heading1"/>
      </w:pPr>
      <w:r>
        <w:t>3 Phân tích trạng thái thiếu dữ liệu và cảnh báo</w:t>
      </w:r>
    </w:p>
    <w:p>
      <w:pPr>
        <w:pStyle w:val="Heading2"/>
      </w:pPr>
      <w:r>
        <w:t>Đủ mốc dự đoán nhưng còn thiếu actual</w:t>
      </w:r>
    </w:p>
    <w:tbl>
      <w:tblPr>
        <w:tblW w:type="auto" w:w="0"/>
        <w:tblLayout w:type="fixed"/>
        <w:tblLook w:firstColumn="1" w:firstRow="1" w:lastColumn="0" w:lastRow="0" w:noHBand="0" w:noVBand="1" w:val="04A0"/>
      </w:tblPr>
      <w:tblGrid>
        <w:gridCol w:w="4997"/>
        <w:gridCol w:w="2448"/>
        <w:gridCol w:w="2448"/>
      </w:tblGrid>
      <w:tr>
        <w:trPr>
          <w:cantSplit/>
          <w:tblHeader/>
        </w:trPr>
        <w:tc>
          <w:tcPr>
            <w:tcW w:type="dxa" w:w="4997"/>
            <w:vAlign w:val="center"/>
            <w:tcBorders>
              <w:top w:val="single" w:sz="4" w:color="D9D9D9"/>
              <w:bottom w:val="single" w:sz="4" w:color="D9D9D9"/>
              <w:left w:val="single" w:sz="4" w:color="D9D9D9"/>
              <w:right w:val="single" w:sz="4" w:color="D9D9D9"/>
            </w:tcBorders>
            <w:shd w:fill="DCE6F1"/>
          </w:tcPr>
          <w:p>
            <w:pPr>
              <w:spacing w:before="100" w:after="100" w:line="252" w:lineRule="auto"/>
            </w:pPr>
            <w:r>
              <w:rPr>
                <w:b/>
                <w:sz w:val="19"/>
              </w:rPr>
              <w:t>Mỗi model trong khung không trễ</w:t>
            </w:r>
          </w:p>
        </w:tc>
        <w:tc>
          <w:tcPr>
            <w:tcW w:type="dxa" w:w="2448"/>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Car</w:t>
            </w:r>
          </w:p>
        </w:tc>
        <w:tc>
          <w:tcPr>
            <w:tcW w:type="dxa" w:w="2448"/>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Motorcycle</w:t>
            </w:r>
          </w:p>
        </w:tc>
      </w:tr>
      <w:tr>
        <w:trPr>
          <w:cantSplit/>
        </w:trPr>
        <w:tc>
          <w:tcPr>
            <w:tcW w:type="dxa" w:w="4997"/>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Dòng dự đoán theo 217 hex × 6 mốc</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1.302</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1.302</w:t>
            </w:r>
          </w:p>
        </w:tc>
      </w:tr>
      <w:tr>
        <w:trPr>
          <w:cantSplit/>
        </w:trPr>
        <w:tc>
          <w:tcPr>
            <w:tcW w:type="dxa" w:w="4997"/>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Dòng có actual để chấm</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876</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768</w:t>
            </w:r>
          </w:p>
        </w:tc>
      </w:tr>
      <w:tr>
        <w:trPr>
          <w:cantSplit/>
        </w:trPr>
        <w:tc>
          <w:tcPr>
            <w:tcW w:type="dxa" w:w="4997"/>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Dòng thiếu actual</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426</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534</w:t>
            </w:r>
          </w:p>
        </w:tc>
      </w:tr>
      <w:tr>
        <w:trPr>
          <w:cantSplit/>
        </w:trPr>
        <w:tc>
          <w:tcPr>
            <w:tcW w:type="dxa" w:w="4997"/>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Độ phủ actual</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67,281%</w:t>
            </w:r>
          </w:p>
        </w:tc>
        <w:tc>
          <w:tcPr>
            <w:tcW w:type="dxa" w:w="2448"/>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58,986%</w:t>
            </w:r>
          </w:p>
        </w:tc>
      </w:tr>
    </w:tbl>
    <w:p>
      <w:pPr>
        <w:spacing w:after="0"/>
      </w:pPr>
    </w:p>
    <w:p>
      <w:r>
        <w:t>Hai khung 10–11h và 11–12h đủ 6/6 mốc nhưng vẫn partial_actual. Số dòng được chấm bằng 146×6 ở Car và 128×6 ở Motorcycle. Source sinh dữ liệu theo tập hex hoạt động trong ngày, trong khi inference dự đoán toàn bộ hex; điều này phù hợp với độ phủ cố định qua nhiều khung.</w:t>
      </w:r>
    </w:p>
    <w:p>
      <w:r>
        <w:t>Cần đối chiếu từng hex và bucket với lịch sinh dữ liệu để phân biệt thiếu theo phạm vi với mất dữ liệu ngoài dự kiến. WMAPE và bias hiện chỉ đại diện phần đủ actual, chưa đại diện toàn bộ 217 hex. Hướng xử lý là báo riêng hai nhóm thiếu; không tự thay actual thiếu bằng 0 hoặc loại hex chỉ để tăng coverage.</w:t>
      </w:r>
    </w:p>
    <w:p>
      <w:pPr>
        <w:pStyle w:val="Heading2"/>
      </w:pPr>
      <w:r>
        <w:t>Cảnh báo đầu vào</w:t>
      </w:r>
    </w:p>
    <w:p>
      <w:r>
        <w:t>Ảnh Feature ghi nhận 59 hex Car và 77 hex Motorcycle thiếu lịch sử; tuổi source p95 khoảng 55 giờ và 79 giờ. Snapshot mới vẫn có thể chứa feature lấy từ lịch sử cũ. Vì vậy, pipeline tiếp tục chạy không có nghĩa đầu vào của mọi hex đều mới.</w:t>
      </w:r>
    </w:p>
    <w:p>
      <w:r>
        <w:t>Cấu hình cảnh báo khi source hoặc snapshot cũ hơn 900 giây, hoặc tỷ lệ thiếu feature trên 5%. Giữ ngưỡng hiện tại và kiểm tra phạm vi hex kỳ vọng trước khi điều chỉnh, tránh che mất trường hợp dữ liệu đáng lẽ phải có nhưng chưa được cập nhật.</w:t>
      </w:r>
    </w:p>
    <w:p>
      <w:pPr>
        <w:pStyle w:val="Heading2"/>
      </w:pPr>
      <w:r>
        <w:t>Cảnh báo phân phối dự đoán</w:t>
      </w:r>
    </w:p>
    <w:tbl>
      <w:tblPr>
        <w:tblW w:type="auto" w:w="0"/>
        <w:tblLayout w:type="fixed"/>
        <w:tblLook w:firstColumn="1" w:firstRow="1" w:lastColumn="0" w:lastRow="0" w:noHBand="0" w:noVBand="1" w:val="04A0"/>
      </w:tblPr>
      <w:tblGrid>
        <w:gridCol w:w="3845"/>
        <w:gridCol w:w="1296"/>
        <w:gridCol w:w="1440"/>
        <w:gridCol w:w="1872"/>
        <w:gridCol w:w="1440"/>
      </w:tblGrid>
      <w:tr>
        <w:trPr>
          <w:cantSplit/>
          <w:tblHeader/>
        </w:trPr>
        <w:tc>
          <w:tcPr>
            <w:tcW w:type="dxa" w:w="3845"/>
            <w:vAlign w:val="center"/>
            <w:tcBorders>
              <w:top w:val="single" w:sz="4" w:color="D9D9D9"/>
              <w:bottom w:val="single" w:sz="4" w:color="D9D9D9"/>
              <w:left w:val="single" w:sz="4" w:color="D9D9D9"/>
              <w:right w:val="single" w:sz="4" w:color="D9D9D9"/>
            </w:tcBorders>
            <w:shd w:fill="DCE6F1"/>
          </w:tcPr>
          <w:p>
            <w:pPr>
              <w:spacing w:before="100" w:after="100" w:line="252" w:lineRule="auto"/>
            </w:pPr>
            <w:r>
              <w:rPr>
                <w:b/>
                <w:sz w:val="19"/>
              </w:rPr>
              <w:t>Ảnh Distribution trước đó</w:t>
            </w:r>
          </w:p>
        </w:tc>
        <w:tc>
          <w:tcPr>
            <w:tcW w:type="dxa" w:w="1296"/>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PSI</w:t>
            </w:r>
          </w:p>
        </w:tc>
        <w:tc>
          <w:tcPr>
            <w:tcW w:type="dxa" w:w="1440"/>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p50 fit</w:t>
            </w:r>
          </w:p>
        </w:tc>
        <w:tc>
          <w:tcPr>
            <w:tcW w:type="dxa" w:w="1872"/>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p50 serving</w:t>
            </w:r>
          </w:p>
        </w:tc>
        <w:tc>
          <w:tcPr>
            <w:tcW w:type="dxa" w:w="1440"/>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Ngoài range</w:t>
            </w:r>
          </w:p>
        </w:tc>
      </w:tr>
      <w:tr>
        <w:trPr>
          <w:cantSplit/>
        </w:trPr>
        <w:tc>
          <w:tcPr>
            <w:tcW w:type="dxa" w:w="384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Car H10</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0,798</w:t>
            </w:r>
          </w:p>
        </w:tc>
        <w:tc>
          <w:tcPr>
            <w:tcW w:type="dxa" w:w="144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4</w:t>
            </w:r>
          </w:p>
        </w:tc>
        <w:tc>
          <w:tcPr>
            <w:tcW w:type="dxa" w:w="187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w:t>
            </w:r>
          </w:p>
        </w:tc>
        <w:tc>
          <w:tcPr>
            <w:tcW w:type="dxa" w:w="144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0%</w:t>
            </w:r>
          </w:p>
        </w:tc>
      </w:tr>
      <w:tr>
        <w:trPr>
          <w:cantSplit/>
        </w:trPr>
        <w:tc>
          <w:tcPr>
            <w:tcW w:type="dxa" w:w="384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Motorcycle H10</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0,785</w:t>
            </w:r>
          </w:p>
        </w:tc>
        <w:tc>
          <w:tcPr>
            <w:tcW w:type="dxa" w:w="144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6</w:t>
            </w:r>
          </w:p>
        </w:tc>
        <w:tc>
          <w:tcPr>
            <w:tcW w:type="dxa" w:w="187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2</w:t>
            </w:r>
          </w:p>
        </w:tc>
        <w:tc>
          <w:tcPr>
            <w:tcW w:type="dxa" w:w="1440"/>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0%</w:t>
            </w:r>
          </w:p>
        </w:tc>
      </w:tr>
    </w:tbl>
    <w:p>
      <w:pPr>
        <w:spacing w:after="0"/>
      </w:pPr>
    </w:p>
    <w:p>
      <w:r>
        <w:t>PSI vượt ngưỡng 0,2 cho thấy phân phối serving khác reference; trung vị thấp hơn cho thấy prediction tập trung ở mức thấp hơn. Ngoài range bằng 0 vẫn có thể đi kèm PSI cao vì tỷ trọng các giá trị bên trong khoảng đã thay đổi.</w:t>
      </w:r>
    </w:p>
    <w:p>
      <w:r>
        <w:t>Chưa dùng PSI để kết luận model dự đoán thiếu hoặc tự động retrain. Cần đối chiếu actual, bias, thời gian và tập hex của cùng version. Ảnh PSI này thuộc version trước các ảnh hiệu năng 09–12h nên không ghép thành một phép đo đồng thời. Cửa sổ truy vấn 24 giờ cũng chưa bảo đảm có đủ 24 giờ dữ liệu serving.</w:t>
      </w:r>
    </w:p>
    <w:p>
      <w:r>
        <w:br w:type="page"/>
      </w:r>
    </w:p>
    <w:p>
      <w:pPr>
        <w:pStyle w:val="Heading1"/>
      </w:pPr>
      <w:r>
        <w:t>4 Kiểm thử và kết luận tuần 4</w:t>
      </w:r>
    </w:p>
    <w:p>
      <w:pPr>
        <w:pStyle w:val="Heading2"/>
      </w:pPr>
      <w:r>
        <w:t>Kết quả kiểm thử monitoring</w:t>
      </w:r>
    </w:p>
    <w:tbl>
      <w:tblPr>
        <w:tblW w:type="auto" w:w="0"/>
        <w:tblLayout w:type="fixed"/>
        <w:tblLook w:firstColumn="1" w:firstRow="1" w:lastColumn="0" w:lastRow="0" w:noHBand="0" w:noVBand="1" w:val="04A0"/>
      </w:tblPr>
      <w:tblGrid>
        <w:gridCol w:w="6005"/>
        <w:gridCol w:w="1296"/>
        <w:gridCol w:w="2592"/>
      </w:tblGrid>
      <w:tr>
        <w:trPr>
          <w:cantSplit/>
          <w:tblHeader/>
        </w:trPr>
        <w:tc>
          <w:tcPr>
            <w:tcW w:type="dxa" w:w="6005"/>
            <w:vAlign w:val="center"/>
            <w:tcBorders>
              <w:top w:val="single" w:sz="4" w:color="D9D9D9"/>
              <w:bottom w:val="single" w:sz="4" w:color="D9D9D9"/>
              <w:left w:val="single" w:sz="4" w:color="D9D9D9"/>
              <w:right w:val="single" w:sz="4" w:color="D9D9D9"/>
            </w:tcBorders>
            <w:shd w:fill="DCE6F1"/>
          </w:tcPr>
          <w:p>
            <w:pPr>
              <w:spacing w:before="100" w:after="100" w:line="252" w:lineRule="auto"/>
            </w:pPr>
            <w:r>
              <w:rPr>
                <w:b/>
                <w:sz w:val="19"/>
              </w:rPr>
              <w:t>Nhóm kiểm thử</w:t>
            </w:r>
          </w:p>
        </w:tc>
        <w:tc>
          <w:tcPr>
            <w:tcW w:type="dxa" w:w="1296"/>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Số ca</w:t>
            </w:r>
          </w:p>
        </w:tc>
        <w:tc>
          <w:tcPr>
            <w:tcW w:type="dxa" w:w="2592"/>
            <w:vAlign w:val="center"/>
            <w:tcBorders>
              <w:top w:val="single" w:sz="4" w:color="D9D9D9"/>
              <w:bottom w:val="single" w:sz="4" w:color="D9D9D9"/>
              <w:left w:val="single" w:sz="4" w:color="D9D9D9"/>
              <w:right w:val="single" w:sz="4" w:color="D9D9D9"/>
            </w:tcBorders>
            <w:shd w:fill="DCE6F1"/>
          </w:tcPr>
          <w:p>
            <w:pPr>
              <w:spacing w:before="100" w:after="100" w:line="252" w:lineRule="auto"/>
              <w:jc w:val="center"/>
            </w:pPr>
            <w:r>
              <w:rPr>
                <w:b/>
                <w:sz w:val="19"/>
              </w:rPr>
              <w:t>Kết quả</w:t>
            </w:r>
          </w:p>
        </w:tc>
      </w:tr>
      <w:tr>
        <w:trPr>
          <w:cantSplit/>
        </w:trPr>
        <w:tc>
          <w:tcPr>
            <w:tcW w:type="dxa" w:w="600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Công thức, ngưỡng, thời gian và cấu hình</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81</w:t>
            </w:r>
          </w:p>
        </w:tc>
        <w:tc>
          <w:tcPr>
            <w:tcW w:type="dxa" w:w="259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81 PASS</w:t>
            </w:r>
          </w:p>
        </w:tc>
      </w:tr>
      <w:tr>
        <w:trPr>
          <w:cantSplit/>
        </w:trPr>
        <w:tc>
          <w:tcPr>
            <w:tcW w:type="dxa" w:w="600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API, metrics và reference</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w:t>
            </w:r>
          </w:p>
        </w:tc>
        <w:tc>
          <w:tcPr>
            <w:tcW w:type="dxa" w:w="259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11 PASS</w:t>
            </w:r>
          </w:p>
        </w:tc>
      </w:tr>
      <w:tr>
        <w:trPr>
          <w:cantSplit/>
        </w:trPr>
        <w:tc>
          <w:tcPr>
            <w:tcW w:type="dxa" w:w="600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Database và DB tới collector/API</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7</w:t>
            </w:r>
          </w:p>
        </w:tc>
        <w:tc>
          <w:tcPr>
            <w:tcW w:type="dxa" w:w="259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7 PASS</w:t>
            </w:r>
          </w:p>
        </w:tc>
      </w:tr>
      <w:tr>
        <w:trPr>
          <w:cantSplit/>
        </w:trPr>
        <w:tc>
          <w:tcPr>
            <w:tcW w:type="dxa" w:w="600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Tải tổng hợp và phân phối lớn</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3</w:t>
            </w:r>
          </w:p>
        </w:tc>
        <w:tc>
          <w:tcPr>
            <w:tcW w:type="dxa" w:w="259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3 PASS</w:t>
            </w:r>
          </w:p>
        </w:tc>
      </w:tr>
      <w:tr>
        <w:trPr>
          <w:cantSplit/>
        </w:trPr>
        <w:tc>
          <w:tcPr>
            <w:tcW w:type="dxa" w:w="600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Tái hiện coverage và feature warning</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3</w:t>
            </w:r>
          </w:p>
        </w:tc>
        <w:tc>
          <w:tcPr>
            <w:tcW w:type="dxa" w:w="259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3 PASS</w:t>
            </w:r>
          </w:p>
        </w:tc>
      </w:tr>
      <w:tr>
        <w:trPr>
          <w:cantSplit/>
        </w:trPr>
        <w:tc>
          <w:tcPr>
            <w:tcW w:type="dxa" w:w="6005"/>
            <w:vAlign w:val="center"/>
            <w:tcBorders>
              <w:top w:val="single" w:sz="4" w:color="D9D9D9"/>
              <w:bottom w:val="single" w:sz="4" w:color="D9D9D9"/>
              <w:left w:val="single" w:sz="4" w:color="D9D9D9"/>
              <w:right w:val="single" w:sz="4" w:color="D9D9D9"/>
            </w:tcBorders>
          </w:tcPr>
          <w:p>
            <w:pPr>
              <w:spacing w:before="100" w:after="100" w:line="252" w:lineRule="auto"/>
            </w:pPr>
            <w:r>
              <w:rPr>
                <w:b w:val="0"/>
                <w:sz w:val="19"/>
              </w:rPr>
              <w:t>Thiếu mốc dự đoán nhưng còn đủ actual</w:t>
            </w:r>
          </w:p>
        </w:tc>
        <w:tc>
          <w:tcPr>
            <w:tcW w:type="dxa" w:w="1296"/>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w:t>
            </w:r>
          </w:p>
        </w:tc>
        <w:tc>
          <w:tcPr>
            <w:tcW w:type="dxa" w:w="2592"/>
            <w:vAlign w:val="center"/>
            <w:tcBorders>
              <w:top w:val="single" w:sz="4" w:color="D9D9D9"/>
              <w:bottom w:val="single" w:sz="4" w:color="D9D9D9"/>
              <w:left w:val="single" w:sz="4" w:color="D9D9D9"/>
              <w:right w:val="single" w:sz="4" w:color="D9D9D9"/>
            </w:tcBorders>
          </w:tcPr>
          <w:p>
            <w:pPr>
              <w:spacing w:before="100" w:after="100" w:line="252" w:lineRule="auto"/>
              <w:jc w:val="center"/>
            </w:pPr>
            <w:r>
              <w:rPr>
                <w:b w:val="0"/>
                <w:sz w:val="19"/>
              </w:rPr>
              <w:t>1 XFAIL</w:t>
            </w:r>
          </w:p>
        </w:tc>
      </w:tr>
    </w:tbl>
    <w:p>
      <w:pPr>
        <w:spacing w:after="0"/>
      </w:pPr>
    </w:p>
    <w:p>
      <w:r>
        <w:t>Tổng cộng 105 PASS và 1 XFAIL. Các tình huống đã kiểm tra gồm thiếu một bucket actual rồi bổ sung, nhãn chưa đủ tuổi, prediction phát hành trễ, feature thiếu hoặc cũ, reference sai version và phân phối vượt ngưỡng. Các ca tại sát ngưỡng giúp xác nhận cảnh báo xuất hiện đúng điều kiện.</w:t>
      </w:r>
    </w:p>
    <w:p>
      <w:r>
        <w:t>Ca G01 còn XFAIL: khi chỉ có 4/6 mốc dự đoán nhưng actual của các dòng còn lại đầy đủ, source vẫn có thể trả trạng thái đủ điều kiện cảnh báo hiệu năng. Cần bổ sung kiểm tra số mốc, vì sai số trên các dòng còn lại không phản ánh phần dự đoán đã bị thiếu. Ca này chưa được tính là đạt.</w:t>
      </w:r>
    </w:p>
    <w:p>
      <w:r>
        <w:t>Kiểm tra kết nối live được xác nhận đều true. Tuy nhiên, chưa kiểm chứng đầy đủ vòng đời cảnh báo pending → firing → resolved trên stack thật và chưa chạy liên tục 24–48 giờ. Test tải hiện dùng dữ liệu tổng hợp trong bộ nhớ, không thay thế kiểm thử độ ổn định vận hành.</w:t>
      </w:r>
    </w:p>
    <w:p>
      <w:pPr>
        <w:pStyle w:val="Heading2"/>
      </w:pPr>
      <w:r>
        <w:t>Kết luận</w:t>
      </w:r>
    </w:p>
    <w:p>
      <w:r>
        <w:t>Chốt giữ nguyên mô hình và prediction gốc, không áp dụng hiệu chỉnh trong phiên bản hiện tại. Cơ sở là bias tổng nhỏ, sai số xuất hiện ở cả hai chiều và khác dấu giữa các hex, khung giờ; chưa có bằng chứng một mức bù chung cải thiện kết quả. H60 tiếp tục là nhóm ưu tiên theo dõi.</w:t>
      </w:r>
    </w:p>
    <w:p>
      <w:r>
        <w:t>Monitoring đã cung cấp được metric theo giờ, phát hiện thiếu actual và prediction trễ, đồng thời có bộ test cho các tình huống lỗi chính. Phần cần hoàn thiện trước mắt là độ phủ dữ liệu và điều kiện đủ mốc, thay vì thay đổi mô hình hoặc nới ngưỡng để loại warning.</w:t>
      </w:r>
    </w:p>
    <w:p>
      <w:pPr>
        <w:pStyle w:val="Heading2"/>
      </w:pPr>
      <w:r>
        <w:t>Công việc tiếp theo</w:t>
      </w:r>
    </w:p>
    <w:p>
      <w:r>
        <w:t>1. Đối chiếu lịch hoạt động của hex để tách thiếu actual ngoài dự kiến khỏi hex ngoài phạm vi sinh dữ liệu.</w:t>
        <w:br/>
        <w:t>2. Sửa điều kiện đủ mốc và chạy lại G01 cùng các test liên quan.</w:t>
        <w:br/>
        <w:t>3. Kiểm tra cảnh báo và phục hồi trên staging; theo dõi stack liên tục 24–48 giờ.</w:t>
      </w:r>
    </w:p>
    <w:p>
      <w:pPr>
        <w:spacing w:after="140"/>
      </w:pPr>
      <w:r>
        <w:rPr>
          <w:i/>
          <w:sz w:val="18"/>
        </w:rPr>
        <w:t>Phạm vi: dữ liệu giả lập; chưa kết luận sẵn sàng production. Nguồn: output hieuchinh (1).ipynb, source demand_forecasting(2).zip, bộ monitoring_tests và ảnh dashboard/console ngày 09/10/2026. Các số liệu được giữ theo kết quả đã ghi nhận, không tạo thêm kết quả thực nghiệm.</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Tuần 4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Đánh giá dự đoán và monitoring</dc:title>
  <dc:subject/>
  <dc:creator>Nguyễn Trường An</dc:creator>
  <cp:keywords/>
  <dc:description>generated by python-docx</dc:description>
  <cp:lastModifiedBy/>
  <cp:revision>1</cp:revision>
  <dcterms:created xsi:type="dcterms:W3CDTF">2013-12-23T23:15:00Z</dcterms:created>
  <dcterms:modified xsi:type="dcterms:W3CDTF">2013-12-23T23:15:00Z</dcterms:modified>
  <cp:category/>
</cp:coreProperties>
</file>