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3</w:t>
      </w:r>
    </w:p>
    <w:p>
      <w:pPr>
        <w:jc w:val="center"/>
      </w:pPr>
      <w:r>
        <w:rPr>
          <w:b/>
          <w:sz w:val="25"/>
        </w:rPr>
        <w:t>Dự báo nhu cầu di chuyển theo khu vực và thời gian</w:t>
        <w:br/>
        <w:t>tại Thành phố Hồ Chí Minh</w:t>
      </w:r>
    </w:p>
    <w:p>
      <w:pPr>
        <w:pStyle w:val="Note"/>
        <w:jc w:val="center"/>
      </w:pPr>
      <w:r>
        <w:rPr>
          <w:i/>
        </w:rPr>
        <w:t>Cập nhật ngày 05 tháng 10 năm 2026</w:t>
      </w:r>
    </w:p>
    <w:p>
      <w:r>
        <w:t>Tuần 3, em tập trung chốt bộ feature và cấu hình cho sáu mô hình LightGBM, kiểm tra các nhóm dự báo sai nhiều và thử hiệu chỉnh sau dự đoán. Kết quả mới đạt WMAPE toàn test từ 10,60% đến 14,13%. Em giữ mô hình gốc để tiếp tục kiểm thử pipeline vì hai cách hiệu chỉnh chưa mang lại lợi ích đáng kể; khả năng bám các đợt demand tăng giảm đột ngột vẫn cần cải thiện.</w:t>
      </w:r>
    </w:p>
    <w:p>
      <w:pPr>
        <w:pStyle w:val="Heading1"/>
      </w:pPr>
      <w:r>
        <w:t>1 Nội dung huấn luyện đã chốt</w:t>
      </w:r>
    </w:p>
    <w:p>
      <w:r>
        <w:t>Bài toán tiếp tục dùng dữ liệu giả lập theo H3 level 7, hai loại phương tiện Car và Motorcycle. Tại thời điểm T, H10 dự báo demand trong [T, T+10); H30 và H60 dự báo tổng demand trong [T, T+30) và [T, T+60). Sáu mô hình được huấn luyện độc lập, không dùng prediction H10 làm đầu vào cho H30 hoặc H60.</w:t>
      </w:r>
    </w:p>
    <w:p>
      <w:pPr>
        <w:pStyle w:val="ListBullet"/>
      </w:pPr>
      <w:r>
        <w:t>H10 dùng 25 feature: 21 feature nền và 4 tín hiệu demand gần nhất tại T−10, T−20, trung bình T−10 đến T−60 và chênh lệch T−10 với T−30.</w:t>
      </w:r>
    </w:p>
    <w:p>
      <w:pPr>
        <w:pStyle w:val="ListBullet"/>
      </w:pPr>
      <w:r>
        <w:t>H30/H60 dùng 33 feature: 24 feature nền theo horizon, bổ sung tín hiệu gần nhất và demand của các hex lân cận. Dữ liệu T−10/T−20 phải đã đóng và được cập nhật trước lúc dự đoán.</w:t>
      </w:r>
    </w:p>
    <w:p>
      <w:r>
        <w:t>Em giữ cutoff test tại 15/08/2026 lúc 09:40 theo giờ Việt Nam; 30 ngày trước đó là validation, phần trước validation là train. Các target vượt ranh giới tập được loại bỏ. Notebook thử 31, 63 và 130 lá, tối đa 800 cây, early stopping 50 vòng theo MAE; chọn bằng WMAPE validation trên prediction float rồi refit TRAIN+VAL. Tổng cộng có 18 lần fit chọn cấu hình và 6 lần refit.</w:t>
      </w:r>
    </w:p>
    <w:p>
      <w:pPr>
        <w:pStyle w:val="Heading1"/>
      </w:pPr>
      <w:r>
        <w:t>2 Cấu hình và kết quả trên tập test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1584"/>
        <w:gridCol w:w="1296"/>
        <w:gridCol w:w="1296"/>
        <w:gridCol w:w="3038"/>
      </w:tblGrid>
      <w:tr>
        <w:trPr>
          <w:cantSplit/>
          <w:tblHeader/>
        </w:trPr>
        <w:tc>
          <w:tcPr>
            <w:tcW w:type="dxa" w:w="2952"/>
            <w:vAlign w:val="center"/>
            <w:tcMar>
              <w:top w:w="80" w:type="dxa"/>
              <w:bottom w:w="80" w:type="dxa"/>
              <w:left w:w="100" w:type="dxa"/>
              <w:right w:w="100" w:type="dxa"/>
            </w:tcMar>
            <w:shd w:fill="1F4E79"/>
          </w:tcPr>
          <w:p>
            <w:pPr>
              <w:pStyle w:val="TableText"/>
              <w:jc w:val="left"/>
            </w:pPr>
            <w:r>
              <w:rPr>
                <w:b/>
                <w:color w:val="FFFFFF"/>
              </w:rPr>
              <w:t>Mô hình</w:t>
            </w:r>
          </w:p>
        </w:tc>
        <w:tc>
          <w:tcPr>
            <w:tcW w:type="dxa" w:w="1584"/>
            <w:vAlign w:val="center"/>
            <w:tcMar>
              <w:top w:w="80" w:type="dxa"/>
              <w:bottom w:w="80" w:type="dxa"/>
              <w:left w:w="100" w:type="dxa"/>
              <w:right w:w="100" w:type="dxa"/>
            </w:tcMar>
            <w:shd w:fill="1F4E79"/>
          </w:tcPr>
          <w:p>
            <w:pPr>
              <w:pStyle w:val="TableText"/>
              <w:jc w:val="center"/>
            </w:pPr>
            <w:r>
              <w:rPr>
                <w:b/>
                <w:color w:val="FFFFFF"/>
              </w:rPr>
              <w:t>Số feature</w:t>
            </w:r>
          </w:p>
        </w:tc>
        <w:tc>
          <w:tcPr>
            <w:tcW w:type="dxa" w:w="1296"/>
            <w:vAlign w:val="center"/>
            <w:tcMar>
              <w:top w:w="80" w:type="dxa"/>
              <w:bottom w:w="80" w:type="dxa"/>
              <w:left w:w="100" w:type="dxa"/>
              <w:right w:w="100" w:type="dxa"/>
            </w:tcMar>
            <w:shd w:fill="1F4E79"/>
          </w:tcPr>
          <w:p>
            <w:pPr>
              <w:pStyle w:val="TableText"/>
              <w:jc w:val="center"/>
            </w:pPr>
            <w:r>
              <w:rPr>
                <w:b/>
                <w:color w:val="FFFFFF"/>
              </w:rPr>
              <w:t>Số lá</w:t>
            </w:r>
          </w:p>
        </w:tc>
        <w:tc>
          <w:tcPr>
            <w:tcW w:type="dxa" w:w="1296"/>
            <w:vAlign w:val="center"/>
            <w:tcMar>
              <w:top w:w="80" w:type="dxa"/>
              <w:bottom w:w="80" w:type="dxa"/>
              <w:left w:w="100" w:type="dxa"/>
              <w:right w:w="100" w:type="dxa"/>
            </w:tcMar>
            <w:shd w:fill="1F4E79"/>
          </w:tcPr>
          <w:p>
            <w:pPr>
              <w:pStyle w:val="TableText"/>
              <w:jc w:val="center"/>
            </w:pPr>
            <w:r>
              <w:rPr>
                <w:b/>
                <w:color w:val="FFFFFF"/>
              </w:rPr>
              <w:t>Số cây</w:t>
            </w:r>
          </w:p>
        </w:tc>
        <w:tc>
          <w:tcPr>
            <w:tcW w:type="dxa" w:w="3038"/>
            <w:vAlign w:val="center"/>
            <w:tcMar>
              <w:top w:w="80" w:type="dxa"/>
              <w:bottom w:w="80" w:type="dxa"/>
              <w:left w:w="100" w:type="dxa"/>
              <w:right w:w="100" w:type="dxa"/>
            </w:tcMar>
            <w:shd w:fill="1F4E79"/>
          </w:tcPr>
          <w:p>
            <w:pPr>
              <w:pStyle w:val="TableText"/>
              <w:jc w:val="center"/>
            </w:pPr>
            <w:r>
              <w:rPr>
                <w:b/>
                <w:color w:val="FFFFFF"/>
              </w:rPr>
              <w:t>Test WMAPE</w:t>
            </w:r>
          </w:p>
        </w:tc>
      </w:tr>
      <w:tr>
        <w:trPr>
          <w:cantSplit/>
        </w:trPr>
        <w:tc>
          <w:tcPr>
            <w:tcW w:type="dxa" w:w="2952"/>
            <w:vAlign w:val="center"/>
            <w:tcMar>
              <w:top w:w="80" w:type="dxa"/>
              <w:bottom w:w="80" w:type="dxa"/>
              <w:left w:w="100" w:type="dxa"/>
              <w:right w:w="100" w:type="dxa"/>
            </w:tcMar>
          </w:tcPr>
          <w:p>
            <w:pPr>
              <w:pStyle w:val="TableText"/>
              <w:jc w:val="left"/>
            </w:pPr>
            <w:r>
              <w:rPr>
                <w:b w:val="0"/>
              </w:rPr>
              <w:t>Car H10</w:t>
            </w:r>
          </w:p>
        </w:tc>
        <w:tc>
          <w:tcPr>
            <w:tcW w:type="dxa" w:w="1584"/>
            <w:vAlign w:val="center"/>
            <w:tcMar>
              <w:top w:w="80" w:type="dxa"/>
              <w:bottom w:w="80" w:type="dxa"/>
              <w:left w:w="100" w:type="dxa"/>
              <w:right w:w="100" w:type="dxa"/>
            </w:tcMar>
          </w:tcPr>
          <w:p>
            <w:pPr>
              <w:pStyle w:val="TableText"/>
              <w:jc w:val="center"/>
            </w:pPr>
            <w:r>
              <w:rPr>
                <w:b w:val="0"/>
              </w:rPr>
              <w:t>25</w:t>
            </w:r>
          </w:p>
        </w:tc>
        <w:tc>
          <w:tcPr>
            <w:tcW w:type="dxa" w:w="1296"/>
            <w:vAlign w:val="center"/>
            <w:tcMar>
              <w:top w:w="80" w:type="dxa"/>
              <w:bottom w:w="80" w:type="dxa"/>
              <w:left w:w="100" w:type="dxa"/>
              <w:right w:w="100" w:type="dxa"/>
            </w:tcMar>
          </w:tcPr>
          <w:p>
            <w:pPr>
              <w:pStyle w:val="TableText"/>
              <w:jc w:val="center"/>
            </w:pPr>
            <w:r>
              <w:rPr>
                <w:b w:val="0"/>
              </w:rPr>
              <w:t>63</w:t>
            </w:r>
          </w:p>
        </w:tc>
        <w:tc>
          <w:tcPr>
            <w:tcW w:type="dxa" w:w="1296"/>
            <w:vAlign w:val="center"/>
            <w:tcMar>
              <w:top w:w="80" w:type="dxa"/>
              <w:bottom w:w="80" w:type="dxa"/>
              <w:left w:w="100" w:type="dxa"/>
              <w:right w:w="100" w:type="dxa"/>
            </w:tcMar>
          </w:tcPr>
          <w:p>
            <w:pPr>
              <w:pStyle w:val="TableText"/>
              <w:jc w:val="center"/>
            </w:pPr>
            <w:r>
              <w:rPr>
                <w:b w:val="0"/>
              </w:rPr>
              <w:t>633</w:t>
            </w:r>
          </w:p>
        </w:tc>
        <w:tc>
          <w:tcPr>
            <w:tcW w:type="dxa" w:w="3038"/>
            <w:vAlign w:val="center"/>
            <w:tcMar>
              <w:top w:w="80" w:type="dxa"/>
              <w:bottom w:w="80" w:type="dxa"/>
              <w:left w:w="100" w:type="dxa"/>
              <w:right w:w="100" w:type="dxa"/>
            </w:tcMar>
          </w:tcPr>
          <w:p>
            <w:pPr>
              <w:pStyle w:val="TableText"/>
              <w:jc w:val="center"/>
            </w:pPr>
            <w:r>
              <w:rPr>
                <w:b w:val="0"/>
              </w:rPr>
              <w:t>11,4594%</w:t>
            </w:r>
          </w:p>
        </w:tc>
      </w:tr>
      <w:tr>
        <w:trPr>
          <w:cantSplit/>
        </w:trPr>
        <w:tc>
          <w:tcPr>
            <w:tcW w:type="dxa" w:w="2952"/>
            <w:vAlign w:val="center"/>
            <w:tcMar>
              <w:top w:w="80" w:type="dxa"/>
              <w:bottom w:w="80" w:type="dxa"/>
              <w:left w:w="100" w:type="dxa"/>
              <w:right w:w="100" w:type="dxa"/>
            </w:tcMar>
            <w:shd w:fill="EFF3F7"/>
          </w:tcPr>
          <w:p>
            <w:pPr>
              <w:pStyle w:val="TableText"/>
              <w:jc w:val="left"/>
            </w:pPr>
            <w:r>
              <w:rPr>
                <w:b w:val="0"/>
              </w:rPr>
              <w:t>Car H30</w:t>
            </w:r>
          </w:p>
        </w:tc>
        <w:tc>
          <w:tcPr>
            <w:tcW w:type="dxa" w:w="1584"/>
            <w:vAlign w:val="center"/>
            <w:tcMar>
              <w:top w:w="80" w:type="dxa"/>
              <w:bottom w:w="80" w:type="dxa"/>
              <w:left w:w="100" w:type="dxa"/>
              <w:right w:w="100" w:type="dxa"/>
            </w:tcMar>
            <w:shd w:fill="EFF3F7"/>
          </w:tcPr>
          <w:p>
            <w:pPr>
              <w:pStyle w:val="TableText"/>
              <w:jc w:val="center"/>
            </w:pPr>
            <w:r>
              <w:rPr>
                <w:b w:val="0"/>
              </w:rPr>
              <w:t>33</w:t>
            </w:r>
          </w:p>
        </w:tc>
        <w:tc>
          <w:tcPr>
            <w:tcW w:type="dxa" w:w="1296"/>
            <w:vAlign w:val="center"/>
            <w:tcMar>
              <w:top w:w="80" w:type="dxa"/>
              <w:bottom w:w="80" w:type="dxa"/>
              <w:left w:w="100" w:type="dxa"/>
              <w:right w:w="100" w:type="dxa"/>
            </w:tcMar>
            <w:shd w:fill="EFF3F7"/>
          </w:tcPr>
          <w:p>
            <w:pPr>
              <w:pStyle w:val="TableText"/>
              <w:jc w:val="center"/>
            </w:pPr>
            <w:r>
              <w:rPr>
                <w:b w:val="0"/>
              </w:rPr>
              <w:t>130</w:t>
            </w:r>
          </w:p>
        </w:tc>
        <w:tc>
          <w:tcPr>
            <w:tcW w:type="dxa" w:w="1296"/>
            <w:vAlign w:val="center"/>
            <w:tcMar>
              <w:top w:w="80" w:type="dxa"/>
              <w:bottom w:w="80" w:type="dxa"/>
              <w:left w:w="100" w:type="dxa"/>
              <w:right w:w="100" w:type="dxa"/>
            </w:tcMar>
            <w:shd w:fill="EFF3F7"/>
          </w:tcPr>
          <w:p>
            <w:pPr>
              <w:pStyle w:val="TableText"/>
              <w:jc w:val="center"/>
            </w:pPr>
            <w:r>
              <w:rPr>
                <w:b w:val="0"/>
              </w:rPr>
              <w:t>763</w:t>
            </w:r>
          </w:p>
        </w:tc>
        <w:tc>
          <w:tcPr>
            <w:tcW w:type="dxa" w:w="3038"/>
            <w:vAlign w:val="center"/>
            <w:tcMar>
              <w:top w:w="80" w:type="dxa"/>
              <w:bottom w:w="80" w:type="dxa"/>
              <w:left w:w="100" w:type="dxa"/>
              <w:right w:w="100" w:type="dxa"/>
            </w:tcMar>
            <w:shd w:fill="EFF3F7"/>
          </w:tcPr>
          <w:p>
            <w:pPr>
              <w:pStyle w:val="TableText"/>
              <w:jc w:val="center"/>
            </w:pPr>
            <w:r>
              <w:rPr>
                <w:b w:val="0"/>
              </w:rPr>
              <w:t>11,2230%</w:t>
            </w:r>
          </w:p>
        </w:tc>
      </w:tr>
      <w:tr>
        <w:trPr>
          <w:cantSplit/>
        </w:trPr>
        <w:tc>
          <w:tcPr>
            <w:tcW w:type="dxa" w:w="2952"/>
            <w:vAlign w:val="center"/>
            <w:tcMar>
              <w:top w:w="80" w:type="dxa"/>
              <w:bottom w:w="80" w:type="dxa"/>
              <w:left w:w="100" w:type="dxa"/>
              <w:right w:w="100" w:type="dxa"/>
            </w:tcMar>
          </w:tcPr>
          <w:p>
            <w:pPr>
              <w:pStyle w:val="TableText"/>
              <w:jc w:val="left"/>
            </w:pPr>
            <w:r>
              <w:rPr>
                <w:b w:val="0"/>
              </w:rPr>
              <w:t>Car H60</w:t>
            </w:r>
          </w:p>
        </w:tc>
        <w:tc>
          <w:tcPr>
            <w:tcW w:type="dxa" w:w="1584"/>
            <w:vAlign w:val="center"/>
            <w:tcMar>
              <w:top w:w="80" w:type="dxa"/>
              <w:bottom w:w="80" w:type="dxa"/>
              <w:left w:w="100" w:type="dxa"/>
              <w:right w:w="100" w:type="dxa"/>
            </w:tcMar>
          </w:tcPr>
          <w:p>
            <w:pPr>
              <w:pStyle w:val="TableText"/>
              <w:jc w:val="center"/>
            </w:pPr>
            <w:r>
              <w:rPr>
                <w:b w:val="0"/>
              </w:rPr>
              <w:t>33</w:t>
            </w:r>
          </w:p>
        </w:tc>
        <w:tc>
          <w:tcPr>
            <w:tcW w:type="dxa" w:w="1296"/>
            <w:vAlign w:val="center"/>
            <w:tcMar>
              <w:top w:w="80" w:type="dxa"/>
              <w:bottom w:w="80" w:type="dxa"/>
              <w:left w:w="100" w:type="dxa"/>
              <w:right w:w="100" w:type="dxa"/>
            </w:tcMar>
          </w:tcPr>
          <w:p>
            <w:pPr>
              <w:pStyle w:val="TableText"/>
              <w:jc w:val="center"/>
            </w:pPr>
            <w:r>
              <w:rPr>
                <w:b w:val="0"/>
              </w:rPr>
              <w:t>130</w:t>
            </w:r>
          </w:p>
        </w:tc>
        <w:tc>
          <w:tcPr>
            <w:tcW w:type="dxa" w:w="1296"/>
            <w:vAlign w:val="center"/>
            <w:tcMar>
              <w:top w:w="80" w:type="dxa"/>
              <w:bottom w:w="80" w:type="dxa"/>
              <w:left w:w="100" w:type="dxa"/>
              <w:right w:w="100" w:type="dxa"/>
            </w:tcMar>
          </w:tcPr>
          <w:p>
            <w:pPr>
              <w:pStyle w:val="TableText"/>
              <w:jc w:val="center"/>
            </w:pPr>
            <w:r>
              <w:rPr>
                <w:b w:val="0"/>
              </w:rPr>
              <w:t>799</w:t>
            </w:r>
          </w:p>
        </w:tc>
        <w:tc>
          <w:tcPr>
            <w:tcW w:type="dxa" w:w="3038"/>
            <w:vAlign w:val="center"/>
            <w:tcMar>
              <w:top w:w="80" w:type="dxa"/>
              <w:bottom w:w="80" w:type="dxa"/>
              <w:left w:w="100" w:type="dxa"/>
              <w:right w:w="100" w:type="dxa"/>
            </w:tcMar>
          </w:tcPr>
          <w:p>
            <w:pPr>
              <w:pStyle w:val="TableText"/>
              <w:jc w:val="center"/>
            </w:pPr>
            <w:r>
              <w:rPr>
                <w:b w:val="0"/>
              </w:rPr>
              <w:t>14,1268%</w:t>
            </w:r>
          </w:p>
        </w:tc>
      </w:tr>
      <w:tr>
        <w:trPr>
          <w:cantSplit/>
        </w:trPr>
        <w:tc>
          <w:tcPr>
            <w:tcW w:type="dxa" w:w="2952"/>
            <w:vAlign w:val="center"/>
            <w:tcMar>
              <w:top w:w="80" w:type="dxa"/>
              <w:bottom w:w="80" w:type="dxa"/>
              <w:left w:w="100" w:type="dxa"/>
              <w:right w:w="100" w:type="dxa"/>
            </w:tcMar>
            <w:shd w:fill="EFF3F7"/>
          </w:tcPr>
          <w:p>
            <w:pPr>
              <w:pStyle w:val="TableText"/>
              <w:jc w:val="left"/>
            </w:pPr>
            <w:r>
              <w:rPr>
                <w:b w:val="0"/>
              </w:rPr>
              <w:t>Motorcycle H10</w:t>
            </w:r>
          </w:p>
        </w:tc>
        <w:tc>
          <w:tcPr>
            <w:tcW w:type="dxa" w:w="1584"/>
            <w:vAlign w:val="center"/>
            <w:tcMar>
              <w:top w:w="80" w:type="dxa"/>
              <w:bottom w:w="80" w:type="dxa"/>
              <w:left w:w="100" w:type="dxa"/>
              <w:right w:w="100" w:type="dxa"/>
            </w:tcMar>
            <w:shd w:fill="EFF3F7"/>
          </w:tcPr>
          <w:p>
            <w:pPr>
              <w:pStyle w:val="TableText"/>
              <w:jc w:val="center"/>
            </w:pPr>
            <w:r>
              <w:rPr>
                <w:b w:val="0"/>
              </w:rPr>
              <w:t>25</w:t>
            </w:r>
          </w:p>
        </w:tc>
        <w:tc>
          <w:tcPr>
            <w:tcW w:type="dxa" w:w="1296"/>
            <w:vAlign w:val="center"/>
            <w:tcMar>
              <w:top w:w="80" w:type="dxa"/>
              <w:bottom w:w="80" w:type="dxa"/>
              <w:left w:w="100" w:type="dxa"/>
              <w:right w:w="100" w:type="dxa"/>
            </w:tcMar>
            <w:shd w:fill="EFF3F7"/>
          </w:tcPr>
          <w:p>
            <w:pPr>
              <w:pStyle w:val="TableText"/>
              <w:jc w:val="center"/>
            </w:pPr>
            <w:r>
              <w:rPr>
                <w:b w:val="0"/>
              </w:rPr>
              <w:t>63</w:t>
            </w:r>
          </w:p>
        </w:tc>
        <w:tc>
          <w:tcPr>
            <w:tcW w:type="dxa" w:w="1296"/>
            <w:vAlign w:val="center"/>
            <w:tcMar>
              <w:top w:w="80" w:type="dxa"/>
              <w:bottom w:w="80" w:type="dxa"/>
              <w:left w:w="100" w:type="dxa"/>
              <w:right w:w="100" w:type="dxa"/>
            </w:tcMar>
            <w:shd w:fill="EFF3F7"/>
          </w:tcPr>
          <w:p>
            <w:pPr>
              <w:pStyle w:val="TableText"/>
              <w:jc w:val="center"/>
            </w:pPr>
            <w:r>
              <w:rPr>
                <w:b w:val="0"/>
              </w:rPr>
              <w:t>762</w:t>
            </w:r>
          </w:p>
        </w:tc>
        <w:tc>
          <w:tcPr>
            <w:tcW w:type="dxa" w:w="3038"/>
            <w:vAlign w:val="center"/>
            <w:tcMar>
              <w:top w:w="80" w:type="dxa"/>
              <w:bottom w:w="80" w:type="dxa"/>
              <w:left w:w="100" w:type="dxa"/>
              <w:right w:w="100" w:type="dxa"/>
            </w:tcMar>
            <w:shd w:fill="EFF3F7"/>
          </w:tcPr>
          <w:p>
            <w:pPr>
              <w:pStyle w:val="TableText"/>
              <w:jc w:val="center"/>
            </w:pPr>
            <w:r>
              <w:rPr>
                <w:b w:val="0"/>
              </w:rPr>
              <w:t>11,0136%</w:t>
            </w:r>
          </w:p>
        </w:tc>
      </w:tr>
      <w:tr>
        <w:trPr>
          <w:cantSplit/>
        </w:trPr>
        <w:tc>
          <w:tcPr>
            <w:tcW w:type="dxa" w:w="2952"/>
            <w:vAlign w:val="center"/>
            <w:tcMar>
              <w:top w:w="80" w:type="dxa"/>
              <w:bottom w:w="80" w:type="dxa"/>
              <w:left w:w="100" w:type="dxa"/>
              <w:right w:w="100" w:type="dxa"/>
            </w:tcMar>
          </w:tcPr>
          <w:p>
            <w:pPr>
              <w:pStyle w:val="TableText"/>
              <w:jc w:val="left"/>
            </w:pPr>
            <w:r>
              <w:rPr>
                <w:b w:val="0"/>
              </w:rPr>
              <w:t>Motorcycle H30</w:t>
            </w:r>
          </w:p>
        </w:tc>
        <w:tc>
          <w:tcPr>
            <w:tcW w:type="dxa" w:w="1584"/>
            <w:vAlign w:val="center"/>
            <w:tcMar>
              <w:top w:w="80" w:type="dxa"/>
              <w:bottom w:w="80" w:type="dxa"/>
              <w:left w:w="100" w:type="dxa"/>
              <w:right w:w="100" w:type="dxa"/>
            </w:tcMar>
          </w:tcPr>
          <w:p>
            <w:pPr>
              <w:pStyle w:val="TableText"/>
              <w:jc w:val="center"/>
            </w:pPr>
            <w:r>
              <w:rPr>
                <w:b w:val="0"/>
              </w:rPr>
              <w:t>33</w:t>
            </w:r>
          </w:p>
        </w:tc>
        <w:tc>
          <w:tcPr>
            <w:tcW w:type="dxa" w:w="1296"/>
            <w:vAlign w:val="center"/>
            <w:tcMar>
              <w:top w:w="80" w:type="dxa"/>
              <w:bottom w:w="80" w:type="dxa"/>
              <w:left w:w="100" w:type="dxa"/>
              <w:right w:w="100" w:type="dxa"/>
            </w:tcMar>
          </w:tcPr>
          <w:p>
            <w:pPr>
              <w:pStyle w:val="TableText"/>
              <w:jc w:val="center"/>
            </w:pPr>
            <w:r>
              <w:rPr>
                <w:b w:val="0"/>
              </w:rPr>
              <w:t>63</w:t>
            </w:r>
          </w:p>
        </w:tc>
        <w:tc>
          <w:tcPr>
            <w:tcW w:type="dxa" w:w="1296"/>
            <w:vAlign w:val="center"/>
            <w:tcMar>
              <w:top w:w="80" w:type="dxa"/>
              <w:bottom w:w="80" w:type="dxa"/>
              <w:left w:w="100" w:type="dxa"/>
              <w:right w:w="100" w:type="dxa"/>
            </w:tcMar>
          </w:tcPr>
          <w:p>
            <w:pPr>
              <w:pStyle w:val="TableText"/>
              <w:jc w:val="center"/>
            </w:pPr>
            <w:r>
              <w:rPr>
                <w:b w:val="0"/>
              </w:rPr>
              <w:t>795</w:t>
            </w:r>
          </w:p>
        </w:tc>
        <w:tc>
          <w:tcPr>
            <w:tcW w:type="dxa" w:w="3038"/>
            <w:vAlign w:val="center"/>
            <w:tcMar>
              <w:top w:w="80" w:type="dxa"/>
              <w:bottom w:w="80" w:type="dxa"/>
              <w:left w:w="100" w:type="dxa"/>
              <w:right w:w="100" w:type="dxa"/>
            </w:tcMar>
          </w:tcPr>
          <w:p>
            <w:pPr>
              <w:pStyle w:val="TableText"/>
              <w:jc w:val="center"/>
            </w:pPr>
            <w:r>
              <w:rPr>
                <w:b w:val="0"/>
              </w:rPr>
              <w:t>10,6033%</w:t>
            </w:r>
          </w:p>
        </w:tc>
      </w:tr>
      <w:tr>
        <w:trPr>
          <w:cantSplit/>
        </w:trPr>
        <w:tc>
          <w:tcPr>
            <w:tcW w:type="dxa" w:w="2952"/>
            <w:vAlign w:val="center"/>
            <w:tcMar>
              <w:top w:w="80" w:type="dxa"/>
              <w:bottom w:w="80" w:type="dxa"/>
              <w:left w:w="100" w:type="dxa"/>
              <w:right w:w="100" w:type="dxa"/>
            </w:tcMar>
            <w:shd w:fill="EFF3F7"/>
          </w:tcPr>
          <w:p>
            <w:pPr>
              <w:pStyle w:val="TableText"/>
              <w:jc w:val="left"/>
            </w:pPr>
            <w:r>
              <w:rPr>
                <w:b w:val="0"/>
              </w:rPr>
              <w:t>Motorcycle H60</w:t>
            </w:r>
          </w:p>
        </w:tc>
        <w:tc>
          <w:tcPr>
            <w:tcW w:type="dxa" w:w="1584"/>
            <w:vAlign w:val="center"/>
            <w:tcMar>
              <w:top w:w="80" w:type="dxa"/>
              <w:bottom w:w="80" w:type="dxa"/>
              <w:left w:w="100" w:type="dxa"/>
              <w:right w:w="100" w:type="dxa"/>
            </w:tcMar>
            <w:shd w:fill="EFF3F7"/>
          </w:tcPr>
          <w:p>
            <w:pPr>
              <w:pStyle w:val="TableText"/>
              <w:jc w:val="center"/>
            </w:pPr>
            <w:r>
              <w:rPr>
                <w:b w:val="0"/>
              </w:rPr>
              <w:t>33</w:t>
            </w:r>
          </w:p>
        </w:tc>
        <w:tc>
          <w:tcPr>
            <w:tcW w:type="dxa" w:w="1296"/>
            <w:vAlign w:val="center"/>
            <w:tcMar>
              <w:top w:w="80" w:type="dxa"/>
              <w:bottom w:w="80" w:type="dxa"/>
              <w:left w:w="100" w:type="dxa"/>
              <w:right w:w="100" w:type="dxa"/>
            </w:tcMar>
            <w:shd w:fill="EFF3F7"/>
          </w:tcPr>
          <w:p>
            <w:pPr>
              <w:pStyle w:val="TableText"/>
              <w:jc w:val="center"/>
            </w:pPr>
            <w:r>
              <w:rPr>
                <w:b w:val="0"/>
              </w:rPr>
              <w:t>130</w:t>
            </w:r>
          </w:p>
        </w:tc>
        <w:tc>
          <w:tcPr>
            <w:tcW w:type="dxa" w:w="1296"/>
            <w:vAlign w:val="center"/>
            <w:tcMar>
              <w:top w:w="80" w:type="dxa"/>
              <w:bottom w:w="80" w:type="dxa"/>
              <w:left w:w="100" w:type="dxa"/>
              <w:right w:w="100" w:type="dxa"/>
            </w:tcMar>
            <w:shd w:fill="EFF3F7"/>
          </w:tcPr>
          <w:p>
            <w:pPr>
              <w:pStyle w:val="TableText"/>
              <w:jc w:val="center"/>
            </w:pPr>
            <w:r>
              <w:rPr>
                <w:b w:val="0"/>
              </w:rPr>
              <w:t>792</w:t>
            </w:r>
          </w:p>
        </w:tc>
        <w:tc>
          <w:tcPr>
            <w:tcW w:type="dxa" w:w="3038"/>
            <w:vAlign w:val="center"/>
            <w:tcMar>
              <w:top w:w="80" w:type="dxa"/>
              <w:bottom w:w="80" w:type="dxa"/>
              <w:left w:w="100" w:type="dxa"/>
              <w:right w:w="100" w:type="dxa"/>
            </w:tcMar>
            <w:shd w:fill="EFF3F7"/>
          </w:tcPr>
          <w:p>
            <w:pPr>
              <w:pStyle w:val="TableText"/>
              <w:jc w:val="center"/>
            </w:pPr>
            <w:r>
              <w:rPr>
                <w:b w:val="0"/>
              </w:rPr>
              <w:t>13,3806%</w:t>
            </w:r>
          </w:p>
        </w:tc>
      </w:tr>
    </w:tbl>
    <w:p>
      <w:pPr>
        <w:pStyle w:val="Note"/>
        <w:spacing w:before="100"/>
      </w:pPr>
      <w:r>
        <w:t>WMAPE được tính bằng tổng sai số tuyệt đối chia tổng demand thực tế. Kết quả test dùng prediction đã chặn không âm và làm tròn. Cả sáu mô hình đều dưới 15%, nhưng đây là sai số tổng hợp, không có nghĩa mọi hex hoặc mọi thời điểm đều đạt mức này.</w:t>
      </w:r>
    </w:p>
    <w:p>
      <w:r>
        <w:t>So với số liệu trong báo cáo tuần 2, H60 giảm từ 19,77% xuống 14,13% với Car và từ 18,96% xuống 13,38% với Motorcycle. Đây là so sánh hai phiên bản báo cáo; chưa tách riêng mức đóng góp của từng thay đổi feature và cấu hình.</w:t>
      </w:r>
    </w:p>
    <w:p>
      <w:pPr>
        <w:pStyle w:val="Heading1"/>
        <w:pageBreakBefore/>
      </w:pPr>
      <w:r>
        <w:t>3 Phân tích nhóm lỗi và thử hiệu chỉnh</w:t>
      </w:r>
    </w:p>
    <w:p>
      <w:r>
        <w:t>Em thống kê toàn bộ test theo từng tổ hợp hex–thứ–giờ, chọn nhóm có WMAPE lớn hơn 15% và khóa danh sách này cho cả hai cách hiệu chỉnh. Phạm vi được phép sửa, prediction đầu vào và tập đánh giá đều giống nhau. Số dòng thực sự thay đổi có thể khác do điều kiện áp dụng của mỗi cách.</w:t>
      </w:r>
    </w:p>
    <w:p>
      <w:r>
        <w:t>H60 có nhiều nhóm vượt ngưỡng nhất: Car có 11.019/29.343 nhóm (37,55%), Motorcycle có 11.243/27.191 nhóm (41,35%). Sai số cao không đồng nghĩa với lệch một chiều ổn định; nhiều nhóm dự báo thừa và thiếu xen kẽ nên không thể chỉ cộng hoặc trừ một lượng cố định.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405"/>
        <w:gridCol w:w="2405"/>
        <w:gridCol w:w="2405"/>
      </w:tblGrid>
      <w:tr>
        <w:trPr>
          <w:cantSplit/>
          <w:tblHeader/>
        </w:trPr>
        <w:tc>
          <w:tcPr>
            <w:tcW w:type="dxa" w:w="2952"/>
            <w:vAlign w:val="center"/>
            <w:tcMar>
              <w:top w:w="80" w:type="dxa"/>
              <w:bottom w:w="80" w:type="dxa"/>
              <w:left w:w="100" w:type="dxa"/>
              <w:right w:w="100" w:type="dxa"/>
            </w:tcMar>
            <w:shd w:fill="1F4E79"/>
          </w:tcPr>
          <w:p>
            <w:pPr>
              <w:pStyle w:val="TableText"/>
              <w:jc w:val="left"/>
            </w:pPr>
            <w:r>
              <w:rPr>
                <w:b/>
                <w:color w:val="FFFFFF"/>
              </w:rPr>
              <w:t>Mô hình</w:t>
            </w:r>
          </w:p>
        </w:tc>
        <w:tc>
          <w:tcPr>
            <w:tcW w:type="dxa" w:w="2405"/>
            <w:vAlign w:val="center"/>
            <w:tcMar>
              <w:top w:w="80" w:type="dxa"/>
              <w:bottom w:w="80" w:type="dxa"/>
              <w:left w:w="100" w:type="dxa"/>
              <w:right w:w="100" w:type="dxa"/>
            </w:tcMar>
            <w:shd w:fill="1F4E79"/>
          </w:tcPr>
          <w:p>
            <w:pPr>
              <w:pStyle w:val="TableText"/>
              <w:jc w:val="center"/>
            </w:pPr>
            <w:r>
              <w:rPr>
                <w:b/>
                <w:color w:val="FFFFFF"/>
              </w:rPr>
              <w:t>WMAPE gốc</w:t>
            </w:r>
          </w:p>
        </w:tc>
        <w:tc>
          <w:tcPr>
            <w:tcW w:type="dxa" w:w="2405"/>
            <w:vAlign w:val="center"/>
            <w:tcMar>
              <w:top w:w="80" w:type="dxa"/>
              <w:bottom w:w="80" w:type="dxa"/>
              <w:left w:w="100" w:type="dxa"/>
              <w:right w:w="100" w:type="dxa"/>
            </w:tcMar>
            <w:shd w:fill="1F4E79"/>
          </w:tcPr>
          <w:p>
            <w:pPr>
              <w:pStyle w:val="TableText"/>
              <w:jc w:val="center"/>
            </w:pPr>
            <w:r>
              <w:rPr>
                <w:b/>
                <w:color w:val="FFFFFF"/>
              </w:rPr>
              <w:t>Tuyến tính</w:t>
            </w:r>
          </w:p>
        </w:tc>
        <w:tc>
          <w:tcPr>
            <w:tcW w:type="dxa" w:w="2405"/>
            <w:vAlign w:val="center"/>
            <w:tcMar>
              <w:top w:w="80" w:type="dxa"/>
              <w:bottom w:w="80" w:type="dxa"/>
              <w:left w:w="100" w:type="dxa"/>
              <w:right w:w="100" w:type="dxa"/>
            </w:tcMar>
            <w:shd w:fill="1F4E79"/>
          </w:tcPr>
          <w:p>
            <w:pPr>
              <w:pStyle w:val="TableText"/>
              <w:jc w:val="center"/>
            </w:pPr>
            <w:r>
              <w:rPr>
                <w:b/>
                <w:color w:val="FFFFFF"/>
              </w:rPr>
              <w:t>Cách bù cũ</w:t>
            </w:r>
          </w:p>
        </w:tc>
      </w:tr>
      <w:tr>
        <w:trPr>
          <w:cantSplit/>
        </w:trPr>
        <w:tc>
          <w:tcPr>
            <w:tcW w:type="dxa" w:w="2952"/>
            <w:vAlign w:val="center"/>
            <w:tcMar>
              <w:top w:w="80" w:type="dxa"/>
              <w:bottom w:w="80" w:type="dxa"/>
              <w:left w:w="100" w:type="dxa"/>
              <w:right w:w="100" w:type="dxa"/>
            </w:tcMar>
          </w:tcPr>
          <w:p>
            <w:pPr>
              <w:pStyle w:val="TableText"/>
              <w:jc w:val="left"/>
            </w:pPr>
            <w:r>
              <w:rPr>
                <w:b w:val="0"/>
              </w:rPr>
              <w:t>Car H10</w:t>
            </w:r>
          </w:p>
        </w:tc>
        <w:tc>
          <w:tcPr>
            <w:tcW w:type="dxa" w:w="2405"/>
            <w:vAlign w:val="center"/>
            <w:tcMar>
              <w:top w:w="80" w:type="dxa"/>
              <w:bottom w:w="80" w:type="dxa"/>
              <w:left w:w="100" w:type="dxa"/>
              <w:right w:w="100" w:type="dxa"/>
            </w:tcMar>
          </w:tcPr>
          <w:p>
            <w:pPr>
              <w:pStyle w:val="TableText"/>
              <w:jc w:val="center"/>
            </w:pPr>
            <w:r>
              <w:rPr>
                <w:b w:val="0"/>
              </w:rPr>
              <w:t>11,4594%</w:t>
            </w:r>
          </w:p>
        </w:tc>
        <w:tc>
          <w:tcPr>
            <w:tcW w:type="dxa" w:w="2405"/>
            <w:vAlign w:val="center"/>
            <w:tcMar>
              <w:top w:w="80" w:type="dxa"/>
              <w:bottom w:w="80" w:type="dxa"/>
              <w:left w:w="100" w:type="dxa"/>
              <w:right w:w="100" w:type="dxa"/>
            </w:tcMar>
          </w:tcPr>
          <w:p>
            <w:pPr>
              <w:pStyle w:val="TableText"/>
              <w:jc w:val="center"/>
            </w:pPr>
            <w:r>
              <w:rPr>
                <w:b w:val="0"/>
              </w:rPr>
              <w:t>11,4758%</w:t>
            </w:r>
          </w:p>
        </w:tc>
        <w:tc>
          <w:tcPr>
            <w:tcW w:type="dxa" w:w="2405"/>
            <w:vAlign w:val="center"/>
            <w:tcMar>
              <w:top w:w="80" w:type="dxa"/>
              <w:bottom w:w="80" w:type="dxa"/>
              <w:left w:w="100" w:type="dxa"/>
              <w:right w:w="100" w:type="dxa"/>
            </w:tcMar>
          </w:tcPr>
          <w:p>
            <w:pPr>
              <w:pStyle w:val="TableText"/>
              <w:jc w:val="center"/>
            </w:pPr>
            <w:r>
              <w:rPr>
                <w:b w:val="0"/>
              </w:rPr>
              <w:t>11,4594%</w:t>
            </w:r>
          </w:p>
        </w:tc>
      </w:tr>
      <w:tr>
        <w:trPr>
          <w:cantSplit/>
        </w:trPr>
        <w:tc>
          <w:tcPr>
            <w:tcW w:type="dxa" w:w="2952"/>
            <w:vAlign w:val="center"/>
            <w:tcMar>
              <w:top w:w="80" w:type="dxa"/>
              <w:bottom w:w="80" w:type="dxa"/>
              <w:left w:w="100" w:type="dxa"/>
              <w:right w:w="100" w:type="dxa"/>
            </w:tcMar>
            <w:shd w:fill="EFF3F7"/>
          </w:tcPr>
          <w:p>
            <w:pPr>
              <w:pStyle w:val="TableText"/>
              <w:jc w:val="left"/>
            </w:pPr>
            <w:r>
              <w:rPr>
                <w:b w:val="0"/>
              </w:rPr>
              <w:t>Car H30</w:t>
            </w:r>
          </w:p>
        </w:tc>
        <w:tc>
          <w:tcPr>
            <w:tcW w:type="dxa" w:w="2405"/>
            <w:vAlign w:val="center"/>
            <w:tcMar>
              <w:top w:w="80" w:type="dxa"/>
              <w:bottom w:w="80" w:type="dxa"/>
              <w:left w:w="100" w:type="dxa"/>
              <w:right w:w="100" w:type="dxa"/>
            </w:tcMar>
            <w:shd w:fill="EFF3F7"/>
          </w:tcPr>
          <w:p>
            <w:pPr>
              <w:pStyle w:val="TableText"/>
              <w:jc w:val="center"/>
            </w:pPr>
            <w:r>
              <w:rPr>
                <w:b w:val="0"/>
              </w:rPr>
              <w:t>11,2230%</w:t>
            </w:r>
          </w:p>
        </w:tc>
        <w:tc>
          <w:tcPr>
            <w:tcW w:type="dxa" w:w="2405"/>
            <w:vAlign w:val="center"/>
            <w:tcMar>
              <w:top w:w="80" w:type="dxa"/>
              <w:bottom w:w="80" w:type="dxa"/>
              <w:left w:w="100" w:type="dxa"/>
              <w:right w:w="100" w:type="dxa"/>
            </w:tcMar>
            <w:shd w:fill="EFF3F7"/>
          </w:tcPr>
          <w:p>
            <w:pPr>
              <w:pStyle w:val="TableText"/>
              <w:jc w:val="center"/>
            </w:pPr>
            <w:r>
              <w:rPr>
                <w:b w:val="0"/>
              </w:rPr>
              <w:t>11,2479%</w:t>
            </w:r>
          </w:p>
        </w:tc>
        <w:tc>
          <w:tcPr>
            <w:tcW w:type="dxa" w:w="2405"/>
            <w:vAlign w:val="center"/>
            <w:tcMar>
              <w:top w:w="80" w:type="dxa"/>
              <w:bottom w:w="80" w:type="dxa"/>
              <w:left w:w="100" w:type="dxa"/>
              <w:right w:w="100" w:type="dxa"/>
            </w:tcMar>
            <w:shd w:fill="EFF3F7"/>
          </w:tcPr>
          <w:p>
            <w:pPr>
              <w:pStyle w:val="TableText"/>
              <w:jc w:val="center"/>
            </w:pPr>
            <w:r>
              <w:rPr>
                <w:b w:val="0"/>
              </w:rPr>
              <w:t>11,2230%</w:t>
            </w:r>
          </w:p>
        </w:tc>
      </w:tr>
      <w:tr>
        <w:trPr>
          <w:cantSplit/>
        </w:trPr>
        <w:tc>
          <w:tcPr>
            <w:tcW w:type="dxa" w:w="2952"/>
            <w:vAlign w:val="center"/>
            <w:tcMar>
              <w:top w:w="80" w:type="dxa"/>
              <w:bottom w:w="80" w:type="dxa"/>
              <w:left w:w="100" w:type="dxa"/>
              <w:right w:w="100" w:type="dxa"/>
            </w:tcMar>
          </w:tcPr>
          <w:p>
            <w:pPr>
              <w:pStyle w:val="TableText"/>
              <w:jc w:val="left"/>
            </w:pPr>
            <w:r>
              <w:rPr>
                <w:b w:val="0"/>
              </w:rPr>
              <w:t>Car H60</w:t>
            </w:r>
          </w:p>
        </w:tc>
        <w:tc>
          <w:tcPr>
            <w:tcW w:type="dxa" w:w="2405"/>
            <w:vAlign w:val="center"/>
            <w:tcMar>
              <w:top w:w="80" w:type="dxa"/>
              <w:bottom w:w="80" w:type="dxa"/>
              <w:left w:w="100" w:type="dxa"/>
              <w:right w:w="100" w:type="dxa"/>
            </w:tcMar>
          </w:tcPr>
          <w:p>
            <w:pPr>
              <w:pStyle w:val="TableText"/>
              <w:jc w:val="center"/>
            </w:pPr>
            <w:r>
              <w:rPr>
                <w:b w:val="0"/>
              </w:rPr>
              <w:t>14,1268%</w:t>
            </w:r>
          </w:p>
        </w:tc>
        <w:tc>
          <w:tcPr>
            <w:tcW w:type="dxa" w:w="2405"/>
            <w:vAlign w:val="center"/>
            <w:tcMar>
              <w:top w:w="80" w:type="dxa"/>
              <w:bottom w:w="80" w:type="dxa"/>
              <w:left w:w="100" w:type="dxa"/>
              <w:right w:w="100" w:type="dxa"/>
            </w:tcMar>
          </w:tcPr>
          <w:p>
            <w:pPr>
              <w:pStyle w:val="TableText"/>
              <w:jc w:val="center"/>
            </w:pPr>
            <w:r>
              <w:rPr>
                <w:b w:val="0"/>
              </w:rPr>
              <w:t>14,3571%</w:t>
            </w:r>
          </w:p>
        </w:tc>
        <w:tc>
          <w:tcPr>
            <w:tcW w:type="dxa" w:w="2405"/>
            <w:vAlign w:val="center"/>
            <w:tcMar>
              <w:top w:w="80" w:type="dxa"/>
              <w:bottom w:w="80" w:type="dxa"/>
              <w:left w:w="100" w:type="dxa"/>
              <w:right w:w="100" w:type="dxa"/>
            </w:tcMar>
          </w:tcPr>
          <w:p>
            <w:pPr>
              <w:pStyle w:val="TableText"/>
              <w:jc w:val="center"/>
            </w:pPr>
            <w:r>
              <w:rPr>
                <w:b w:val="0"/>
              </w:rPr>
              <w:t>14,1258%</w:t>
            </w:r>
          </w:p>
        </w:tc>
      </w:tr>
      <w:tr>
        <w:trPr>
          <w:cantSplit/>
        </w:trPr>
        <w:tc>
          <w:tcPr>
            <w:tcW w:type="dxa" w:w="2952"/>
            <w:vAlign w:val="center"/>
            <w:tcMar>
              <w:top w:w="80" w:type="dxa"/>
              <w:bottom w:w="80" w:type="dxa"/>
              <w:left w:w="100" w:type="dxa"/>
              <w:right w:w="100" w:type="dxa"/>
            </w:tcMar>
            <w:shd w:fill="EFF3F7"/>
          </w:tcPr>
          <w:p>
            <w:pPr>
              <w:pStyle w:val="TableText"/>
              <w:jc w:val="left"/>
            </w:pPr>
            <w:r>
              <w:rPr>
                <w:b w:val="0"/>
              </w:rPr>
              <w:t>Motorcycle H10</w:t>
            </w:r>
          </w:p>
        </w:tc>
        <w:tc>
          <w:tcPr>
            <w:tcW w:type="dxa" w:w="2405"/>
            <w:vAlign w:val="center"/>
            <w:tcMar>
              <w:top w:w="80" w:type="dxa"/>
              <w:bottom w:w="80" w:type="dxa"/>
              <w:left w:w="100" w:type="dxa"/>
              <w:right w:w="100" w:type="dxa"/>
            </w:tcMar>
            <w:shd w:fill="EFF3F7"/>
          </w:tcPr>
          <w:p>
            <w:pPr>
              <w:pStyle w:val="TableText"/>
              <w:jc w:val="center"/>
            </w:pPr>
            <w:r>
              <w:rPr>
                <w:b w:val="0"/>
              </w:rPr>
              <w:t>11,0136%</w:t>
            </w:r>
          </w:p>
        </w:tc>
        <w:tc>
          <w:tcPr>
            <w:tcW w:type="dxa" w:w="2405"/>
            <w:vAlign w:val="center"/>
            <w:tcMar>
              <w:top w:w="80" w:type="dxa"/>
              <w:bottom w:w="80" w:type="dxa"/>
              <w:left w:w="100" w:type="dxa"/>
              <w:right w:w="100" w:type="dxa"/>
            </w:tcMar>
            <w:shd w:fill="EFF3F7"/>
          </w:tcPr>
          <w:p>
            <w:pPr>
              <w:pStyle w:val="TableText"/>
              <w:jc w:val="center"/>
            </w:pPr>
            <w:r>
              <w:rPr>
                <w:b w:val="0"/>
              </w:rPr>
              <w:t>11,0260%</w:t>
            </w:r>
          </w:p>
        </w:tc>
        <w:tc>
          <w:tcPr>
            <w:tcW w:type="dxa" w:w="2405"/>
            <w:vAlign w:val="center"/>
            <w:tcMar>
              <w:top w:w="80" w:type="dxa"/>
              <w:bottom w:w="80" w:type="dxa"/>
              <w:left w:w="100" w:type="dxa"/>
              <w:right w:w="100" w:type="dxa"/>
            </w:tcMar>
            <w:shd w:fill="EFF3F7"/>
          </w:tcPr>
          <w:p>
            <w:pPr>
              <w:pStyle w:val="TableText"/>
              <w:jc w:val="center"/>
            </w:pPr>
            <w:r>
              <w:rPr>
                <w:b w:val="0"/>
              </w:rPr>
              <w:t>11,0136%</w:t>
            </w:r>
          </w:p>
        </w:tc>
      </w:tr>
      <w:tr>
        <w:trPr>
          <w:cantSplit/>
        </w:trPr>
        <w:tc>
          <w:tcPr>
            <w:tcW w:type="dxa" w:w="2952"/>
            <w:vAlign w:val="center"/>
            <w:tcMar>
              <w:top w:w="80" w:type="dxa"/>
              <w:bottom w:w="80" w:type="dxa"/>
              <w:left w:w="100" w:type="dxa"/>
              <w:right w:w="100" w:type="dxa"/>
            </w:tcMar>
          </w:tcPr>
          <w:p>
            <w:pPr>
              <w:pStyle w:val="TableText"/>
              <w:jc w:val="left"/>
            </w:pPr>
            <w:r>
              <w:rPr>
                <w:b w:val="0"/>
              </w:rPr>
              <w:t>Motorcycle H30</w:t>
            </w:r>
          </w:p>
        </w:tc>
        <w:tc>
          <w:tcPr>
            <w:tcW w:type="dxa" w:w="2405"/>
            <w:vAlign w:val="center"/>
            <w:tcMar>
              <w:top w:w="80" w:type="dxa"/>
              <w:bottom w:w="80" w:type="dxa"/>
              <w:left w:w="100" w:type="dxa"/>
              <w:right w:w="100" w:type="dxa"/>
            </w:tcMar>
          </w:tcPr>
          <w:p>
            <w:pPr>
              <w:pStyle w:val="TableText"/>
              <w:jc w:val="center"/>
            </w:pPr>
            <w:r>
              <w:rPr>
                <w:b w:val="0"/>
              </w:rPr>
              <w:t>10,6033%</w:t>
            </w:r>
          </w:p>
        </w:tc>
        <w:tc>
          <w:tcPr>
            <w:tcW w:type="dxa" w:w="2405"/>
            <w:vAlign w:val="center"/>
            <w:tcMar>
              <w:top w:w="80" w:type="dxa"/>
              <w:bottom w:w="80" w:type="dxa"/>
              <w:left w:w="100" w:type="dxa"/>
              <w:right w:w="100" w:type="dxa"/>
            </w:tcMar>
          </w:tcPr>
          <w:p>
            <w:pPr>
              <w:pStyle w:val="TableText"/>
              <w:jc w:val="center"/>
            </w:pPr>
            <w:r>
              <w:rPr>
                <w:b w:val="0"/>
              </w:rPr>
              <w:t>10,6225%</w:t>
            </w:r>
          </w:p>
        </w:tc>
        <w:tc>
          <w:tcPr>
            <w:tcW w:type="dxa" w:w="2405"/>
            <w:vAlign w:val="center"/>
            <w:tcMar>
              <w:top w:w="80" w:type="dxa"/>
              <w:bottom w:w="80" w:type="dxa"/>
              <w:left w:w="100" w:type="dxa"/>
              <w:right w:w="100" w:type="dxa"/>
            </w:tcMar>
          </w:tcPr>
          <w:p>
            <w:pPr>
              <w:pStyle w:val="TableText"/>
              <w:jc w:val="center"/>
            </w:pPr>
            <w:r>
              <w:rPr>
                <w:b w:val="0"/>
              </w:rPr>
              <w:t>10,6033%</w:t>
            </w:r>
          </w:p>
        </w:tc>
      </w:tr>
      <w:tr>
        <w:trPr>
          <w:cantSplit/>
        </w:trPr>
        <w:tc>
          <w:tcPr>
            <w:tcW w:type="dxa" w:w="2952"/>
            <w:vAlign w:val="center"/>
            <w:tcMar>
              <w:top w:w="80" w:type="dxa"/>
              <w:bottom w:w="80" w:type="dxa"/>
              <w:left w:w="100" w:type="dxa"/>
              <w:right w:w="100" w:type="dxa"/>
            </w:tcMar>
            <w:shd w:fill="EFF3F7"/>
          </w:tcPr>
          <w:p>
            <w:pPr>
              <w:pStyle w:val="TableText"/>
              <w:jc w:val="left"/>
            </w:pPr>
            <w:r>
              <w:rPr>
                <w:b w:val="0"/>
              </w:rPr>
              <w:t>Motorcycle H60</w:t>
            </w:r>
          </w:p>
        </w:tc>
        <w:tc>
          <w:tcPr>
            <w:tcW w:type="dxa" w:w="2405"/>
            <w:vAlign w:val="center"/>
            <w:tcMar>
              <w:top w:w="80" w:type="dxa"/>
              <w:bottom w:w="80" w:type="dxa"/>
              <w:left w:w="100" w:type="dxa"/>
              <w:right w:w="100" w:type="dxa"/>
            </w:tcMar>
            <w:shd w:fill="EFF3F7"/>
          </w:tcPr>
          <w:p>
            <w:pPr>
              <w:pStyle w:val="TableText"/>
              <w:jc w:val="center"/>
            </w:pPr>
            <w:r>
              <w:rPr>
                <w:b w:val="0"/>
              </w:rPr>
              <w:t>13,3806%</w:t>
            </w:r>
          </w:p>
        </w:tc>
        <w:tc>
          <w:tcPr>
            <w:tcW w:type="dxa" w:w="2405"/>
            <w:vAlign w:val="center"/>
            <w:tcMar>
              <w:top w:w="80" w:type="dxa"/>
              <w:bottom w:w="80" w:type="dxa"/>
              <w:left w:w="100" w:type="dxa"/>
              <w:right w:w="100" w:type="dxa"/>
            </w:tcMar>
            <w:shd w:fill="EFF3F7"/>
          </w:tcPr>
          <w:p>
            <w:pPr>
              <w:pStyle w:val="TableText"/>
              <w:jc w:val="center"/>
            </w:pPr>
            <w:r>
              <w:rPr>
                <w:b w:val="0"/>
              </w:rPr>
              <w:t>13,4994%</w:t>
            </w:r>
          </w:p>
        </w:tc>
        <w:tc>
          <w:tcPr>
            <w:tcW w:type="dxa" w:w="2405"/>
            <w:vAlign w:val="center"/>
            <w:tcMar>
              <w:top w:w="80" w:type="dxa"/>
              <w:bottom w:w="80" w:type="dxa"/>
              <w:left w:w="100" w:type="dxa"/>
              <w:right w:w="100" w:type="dxa"/>
            </w:tcMar>
            <w:shd w:fill="EFF3F7"/>
          </w:tcPr>
          <w:p>
            <w:pPr>
              <w:pStyle w:val="TableText"/>
              <w:jc w:val="center"/>
            </w:pPr>
            <w:r>
              <w:rPr>
                <w:b w:val="0"/>
              </w:rPr>
              <w:t>13,3801%</w:t>
            </w:r>
          </w:p>
        </w:tc>
      </w:tr>
    </w:tbl>
    <w:p>
      <w:pPr>
        <w:spacing w:before="100"/>
      </w:pPr>
      <w:r>
        <w:t>Tuyến tính học hệ số a và b trên validation để điều chỉnh a × prediction + b, nhưng làm WMAPE xấu hơn ở cả sáu mô hình. Cách cũ bù sai số ổn định trên validation khi các actual gần nhất đã có nhãn xác nhận; H10/H30 không thay đổi, H60 chỉ giảm khoảng 0,0010 và 0,0005 điểm phần trăm. Vì vậy, em chưa bật hai lớp hiệu chỉnh này trong luồng dự đoán.</w:t>
      </w:r>
    </w:p>
    <w:p>
      <w:pPr>
        <w:pStyle w:val="Heading1"/>
      </w:pPr>
      <w:r>
        <w:t>4 Khả năng bám demand tăng giảm đột ngột</w:t>
      </w:r>
    </w:p>
    <w:p>
      <w:r>
        <w:t>Em so sánh các mốc liên tiếp cách nhau đúng 10 phút trong cùng hex. Một mốc được coi là biến động mạnh khi demand thay đổi ít nhất 30% so với max(actual trước, 1), đồng thời thay đổi ít nhất 5 × H/10 đơn vị demand. Bảng dưới là WMAPE của model gốc trên cùng các mốc được chọn.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28"/>
        <w:gridCol w:w="3319"/>
        <w:gridCol w:w="3319"/>
      </w:tblGrid>
      <w:tr>
        <w:trPr>
          <w:cantSplit/>
          <w:tblHeader/>
        </w:trPr>
        <w:tc>
          <w:tcPr>
            <w:tcW w:type="dxa" w:w="3528"/>
            <w:vAlign w:val="center"/>
            <w:tcMar>
              <w:top w:w="80" w:type="dxa"/>
              <w:bottom w:w="80" w:type="dxa"/>
              <w:left w:w="100" w:type="dxa"/>
              <w:right w:w="100" w:type="dxa"/>
            </w:tcMar>
            <w:shd w:fill="1F4E79"/>
          </w:tcPr>
          <w:p>
            <w:pPr>
              <w:pStyle w:val="TableText"/>
              <w:jc w:val="left"/>
            </w:pPr>
            <w:r>
              <w:rPr>
                <w:b/>
                <w:color w:val="FFFFFF"/>
              </w:rPr>
              <w:t>Mô hình</w:t>
            </w:r>
          </w:p>
        </w:tc>
        <w:tc>
          <w:tcPr>
            <w:tcW w:type="dxa" w:w="3319"/>
            <w:vAlign w:val="center"/>
            <w:tcMar>
              <w:top w:w="80" w:type="dxa"/>
              <w:bottom w:w="80" w:type="dxa"/>
              <w:left w:w="100" w:type="dxa"/>
              <w:right w:w="100" w:type="dxa"/>
            </w:tcMar>
            <w:shd w:fill="1F4E79"/>
          </w:tcPr>
          <w:p>
            <w:pPr>
              <w:pStyle w:val="TableText"/>
              <w:jc w:val="center"/>
            </w:pPr>
            <w:r>
              <w:rPr>
                <w:b/>
                <w:color w:val="FFFFFF"/>
              </w:rPr>
              <w:t>Khi tăng mạnh</w:t>
            </w:r>
          </w:p>
        </w:tc>
        <w:tc>
          <w:tcPr>
            <w:tcW w:type="dxa" w:w="3319"/>
            <w:vAlign w:val="center"/>
            <w:tcMar>
              <w:top w:w="80" w:type="dxa"/>
              <w:bottom w:w="80" w:type="dxa"/>
              <w:left w:w="100" w:type="dxa"/>
              <w:right w:w="100" w:type="dxa"/>
            </w:tcMar>
            <w:shd w:fill="1F4E79"/>
          </w:tcPr>
          <w:p>
            <w:pPr>
              <w:pStyle w:val="TableText"/>
              <w:jc w:val="center"/>
            </w:pPr>
            <w:r>
              <w:rPr>
                <w:b/>
                <w:color w:val="FFFFFF"/>
              </w:rPr>
              <w:t>Khi giảm mạnh</w:t>
            </w:r>
          </w:p>
        </w:tc>
      </w:tr>
      <w:tr>
        <w:trPr>
          <w:cantSplit/>
        </w:trPr>
        <w:tc>
          <w:tcPr>
            <w:tcW w:type="dxa" w:w="3528"/>
            <w:vAlign w:val="center"/>
            <w:tcMar>
              <w:top w:w="80" w:type="dxa"/>
              <w:bottom w:w="80" w:type="dxa"/>
              <w:left w:w="100" w:type="dxa"/>
              <w:right w:w="100" w:type="dxa"/>
            </w:tcMar>
          </w:tcPr>
          <w:p>
            <w:pPr>
              <w:pStyle w:val="TableText"/>
              <w:jc w:val="left"/>
            </w:pPr>
            <w:r>
              <w:rPr>
                <w:b w:val="0"/>
              </w:rPr>
              <w:t>Car H10</w:t>
            </w:r>
          </w:p>
        </w:tc>
        <w:tc>
          <w:tcPr>
            <w:tcW w:type="dxa" w:w="3319"/>
            <w:vAlign w:val="center"/>
            <w:tcMar>
              <w:top w:w="80" w:type="dxa"/>
              <w:bottom w:w="80" w:type="dxa"/>
              <w:left w:w="100" w:type="dxa"/>
              <w:right w:w="100" w:type="dxa"/>
            </w:tcMar>
          </w:tcPr>
          <w:p>
            <w:pPr>
              <w:pStyle w:val="TableText"/>
              <w:jc w:val="center"/>
            </w:pPr>
            <w:r>
              <w:rPr>
                <w:b w:val="0"/>
              </w:rPr>
              <w:t>22,571%</w:t>
            </w:r>
          </w:p>
        </w:tc>
        <w:tc>
          <w:tcPr>
            <w:tcW w:type="dxa" w:w="3319"/>
            <w:vAlign w:val="center"/>
            <w:tcMar>
              <w:top w:w="80" w:type="dxa"/>
              <w:bottom w:w="80" w:type="dxa"/>
              <w:left w:w="100" w:type="dxa"/>
              <w:right w:w="100" w:type="dxa"/>
            </w:tcMar>
          </w:tcPr>
          <w:p>
            <w:pPr>
              <w:pStyle w:val="TableText"/>
              <w:jc w:val="center"/>
            </w:pPr>
            <w:r>
              <w:rPr>
                <w:b w:val="0"/>
              </w:rPr>
              <w:t>35,110%</w:t>
            </w:r>
          </w:p>
        </w:tc>
      </w:tr>
      <w:tr>
        <w:trPr>
          <w:cantSplit/>
        </w:trPr>
        <w:tc>
          <w:tcPr>
            <w:tcW w:type="dxa" w:w="3528"/>
            <w:vAlign w:val="center"/>
            <w:tcMar>
              <w:top w:w="80" w:type="dxa"/>
              <w:bottom w:w="80" w:type="dxa"/>
              <w:left w:w="100" w:type="dxa"/>
              <w:right w:w="100" w:type="dxa"/>
            </w:tcMar>
            <w:shd w:fill="EFF3F7"/>
          </w:tcPr>
          <w:p>
            <w:pPr>
              <w:pStyle w:val="TableText"/>
              <w:jc w:val="left"/>
            </w:pPr>
            <w:r>
              <w:rPr>
                <w:b w:val="0"/>
              </w:rPr>
              <w:t>Car H30</w:t>
            </w:r>
          </w:p>
        </w:tc>
        <w:tc>
          <w:tcPr>
            <w:tcW w:type="dxa" w:w="3319"/>
            <w:vAlign w:val="center"/>
            <w:tcMar>
              <w:top w:w="80" w:type="dxa"/>
              <w:bottom w:w="80" w:type="dxa"/>
              <w:left w:w="100" w:type="dxa"/>
              <w:right w:w="100" w:type="dxa"/>
            </w:tcMar>
            <w:shd w:fill="EFF3F7"/>
          </w:tcPr>
          <w:p>
            <w:pPr>
              <w:pStyle w:val="TableText"/>
              <w:jc w:val="center"/>
            </w:pPr>
            <w:r>
              <w:rPr>
                <w:b w:val="0"/>
              </w:rPr>
              <w:t>31,966%</w:t>
            </w:r>
          </w:p>
        </w:tc>
        <w:tc>
          <w:tcPr>
            <w:tcW w:type="dxa" w:w="3319"/>
            <w:vAlign w:val="center"/>
            <w:tcMar>
              <w:top w:w="80" w:type="dxa"/>
              <w:bottom w:w="80" w:type="dxa"/>
              <w:left w:w="100" w:type="dxa"/>
              <w:right w:w="100" w:type="dxa"/>
            </w:tcMar>
            <w:shd w:fill="EFF3F7"/>
          </w:tcPr>
          <w:p>
            <w:pPr>
              <w:pStyle w:val="TableText"/>
              <w:jc w:val="center"/>
            </w:pPr>
            <w:r>
              <w:rPr>
                <w:b w:val="0"/>
              </w:rPr>
              <w:t>39,552%</w:t>
            </w:r>
          </w:p>
        </w:tc>
      </w:tr>
      <w:tr>
        <w:trPr>
          <w:cantSplit/>
        </w:trPr>
        <w:tc>
          <w:tcPr>
            <w:tcW w:type="dxa" w:w="3528"/>
            <w:vAlign w:val="center"/>
            <w:tcMar>
              <w:top w:w="80" w:type="dxa"/>
              <w:bottom w:w="80" w:type="dxa"/>
              <w:left w:w="100" w:type="dxa"/>
              <w:right w:w="100" w:type="dxa"/>
            </w:tcMar>
          </w:tcPr>
          <w:p>
            <w:pPr>
              <w:pStyle w:val="TableText"/>
              <w:jc w:val="left"/>
            </w:pPr>
            <w:r>
              <w:rPr>
                <w:b w:val="0"/>
              </w:rPr>
              <w:t>Car H60</w:t>
            </w:r>
          </w:p>
        </w:tc>
        <w:tc>
          <w:tcPr>
            <w:tcW w:type="dxa" w:w="3319"/>
            <w:vAlign w:val="center"/>
            <w:tcMar>
              <w:top w:w="80" w:type="dxa"/>
              <w:bottom w:w="80" w:type="dxa"/>
              <w:left w:w="100" w:type="dxa"/>
              <w:right w:w="100" w:type="dxa"/>
            </w:tcMar>
          </w:tcPr>
          <w:p>
            <w:pPr>
              <w:pStyle w:val="TableText"/>
              <w:jc w:val="center"/>
            </w:pPr>
            <w:r>
              <w:rPr>
                <w:b w:val="0"/>
              </w:rPr>
              <w:t>42,272%</w:t>
            </w:r>
          </w:p>
        </w:tc>
        <w:tc>
          <w:tcPr>
            <w:tcW w:type="dxa" w:w="3319"/>
            <w:vAlign w:val="center"/>
            <w:tcMar>
              <w:top w:w="80" w:type="dxa"/>
              <w:bottom w:w="80" w:type="dxa"/>
              <w:left w:w="100" w:type="dxa"/>
              <w:right w:w="100" w:type="dxa"/>
            </w:tcMar>
          </w:tcPr>
          <w:p>
            <w:pPr>
              <w:pStyle w:val="TableText"/>
              <w:jc w:val="center"/>
            </w:pPr>
            <w:r>
              <w:rPr>
                <w:b w:val="0"/>
              </w:rPr>
              <w:t>64,493%</w:t>
            </w:r>
          </w:p>
        </w:tc>
      </w:tr>
      <w:tr>
        <w:trPr>
          <w:cantSplit/>
        </w:trPr>
        <w:tc>
          <w:tcPr>
            <w:tcW w:type="dxa" w:w="3528"/>
            <w:vAlign w:val="center"/>
            <w:tcMar>
              <w:top w:w="80" w:type="dxa"/>
              <w:bottom w:w="80" w:type="dxa"/>
              <w:left w:w="100" w:type="dxa"/>
              <w:right w:w="100" w:type="dxa"/>
            </w:tcMar>
            <w:shd w:fill="EFF3F7"/>
          </w:tcPr>
          <w:p>
            <w:pPr>
              <w:pStyle w:val="TableText"/>
              <w:jc w:val="left"/>
            </w:pPr>
            <w:r>
              <w:rPr>
                <w:b w:val="0"/>
              </w:rPr>
              <w:t>Motorcycle H10</w:t>
            </w:r>
          </w:p>
        </w:tc>
        <w:tc>
          <w:tcPr>
            <w:tcW w:type="dxa" w:w="3319"/>
            <w:vAlign w:val="center"/>
            <w:tcMar>
              <w:top w:w="80" w:type="dxa"/>
              <w:bottom w:w="80" w:type="dxa"/>
              <w:left w:w="100" w:type="dxa"/>
              <w:right w:w="100" w:type="dxa"/>
            </w:tcMar>
            <w:shd w:fill="EFF3F7"/>
          </w:tcPr>
          <w:p>
            <w:pPr>
              <w:pStyle w:val="TableText"/>
              <w:jc w:val="center"/>
            </w:pPr>
            <w:r>
              <w:rPr>
                <w:b w:val="0"/>
              </w:rPr>
              <w:t>21,191%</w:t>
            </w:r>
          </w:p>
        </w:tc>
        <w:tc>
          <w:tcPr>
            <w:tcW w:type="dxa" w:w="3319"/>
            <w:vAlign w:val="center"/>
            <w:tcMar>
              <w:top w:w="80" w:type="dxa"/>
              <w:bottom w:w="80" w:type="dxa"/>
              <w:left w:w="100" w:type="dxa"/>
              <w:right w:w="100" w:type="dxa"/>
            </w:tcMar>
            <w:shd w:fill="EFF3F7"/>
          </w:tcPr>
          <w:p>
            <w:pPr>
              <w:pStyle w:val="TableText"/>
              <w:jc w:val="center"/>
            </w:pPr>
            <w:r>
              <w:rPr>
                <w:b w:val="0"/>
              </w:rPr>
              <w:t>35,290%</w:t>
            </w:r>
          </w:p>
        </w:tc>
      </w:tr>
      <w:tr>
        <w:trPr>
          <w:cantSplit/>
        </w:trPr>
        <w:tc>
          <w:tcPr>
            <w:tcW w:type="dxa" w:w="3528"/>
            <w:vAlign w:val="center"/>
            <w:tcMar>
              <w:top w:w="80" w:type="dxa"/>
              <w:bottom w:w="80" w:type="dxa"/>
              <w:left w:w="100" w:type="dxa"/>
              <w:right w:w="100" w:type="dxa"/>
            </w:tcMar>
          </w:tcPr>
          <w:p>
            <w:pPr>
              <w:pStyle w:val="TableText"/>
              <w:jc w:val="left"/>
            </w:pPr>
            <w:r>
              <w:rPr>
                <w:b w:val="0"/>
              </w:rPr>
              <w:t>Motorcycle H30</w:t>
            </w:r>
          </w:p>
        </w:tc>
        <w:tc>
          <w:tcPr>
            <w:tcW w:type="dxa" w:w="3319"/>
            <w:vAlign w:val="center"/>
            <w:tcMar>
              <w:top w:w="80" w:type="dxa"/>
              <w:bottom w:w="80" w:type="dxa"/>
              <w:left w:w="100" w:type="dxa"/>
              <w:right w:w="100" w:type="dxa"/>
            </w:tcMar>
          </w:tcPr>
          <w:p>
            <w:pPr>
              <w:pStyle w:val="TableText"/>
              <w:jc w:val="center"/>
            </w:pPr>
            <w:r>
              <w:rPr>
                <w:b w:val="0"/>
              </w:rPr>
              <w:t>23,062%</w:t>
            </w:r>
          </w:p>
        </w:tc>
        <w:tc>
          <w:tcPr>
            <w:tcW w:type="dxa" w:w="3319"/>
            <w:vAlign w:val="center"/>
            <w:tcMar>
              <w:top w:w="80" w:type="dxa"/>
              <w:bottom w:w="80" w:type="dxa"/>
              <w:left w:w="100" w:type="dxa"/>
              <w:right w:w="100" w:type="dxa"/>
            </w:tcMar>
          </w:tcPr>
          <w:p>
            <w:pPr>
              <w:pStyle w:val="TableText"/>
              <w:jc w:val="center"/>
            </w:pPr>
            <w:r>
              <w:rPr>
                <w:b w:val="0"/>
              </w:rPr>
              <w:t>29,931%</w:t>
            </w:r>
          </w:p>
        </w:tc>
      </w:tr>
      <w:tr>
        <w:trPr>
          <w:cantSplit/>
        </w:trPr>
        <w:tc>
          <w:tcPr>
            <w:tcW w:type="dxa" w:w="3528"/>
            <w:vAlign w:val="center"/>
            <w:tcMar>
              <w:top w:w="80" w:type="dxa"/>
              <w:bottom w:w="80" w:type="dxa"/>
              <w:left w:w="100" w:type="dxa"/>
              <w:right w:w="100" w:type="dxa"/>
            </w:tcMar>
            <w:shd w:fill="EFF3F7"/>
          </w:tcPr>
          <w:p>
            <w:pPr>
              <w:pStyle w:val="TableText"/>
              <w:jc w:val="left"/>
            </w:pPr>
            <w:r>
              <w:rPr>
                <w:b w:val="0"/>
              </w:rPr>
              <w:t>Motorcycle H60</w:t>
            </w:r>
          </w:p>
        </w:tc>
        <w:tc>
          <w:tcPr>
            <w:tcW w:type="dxa" w:w="3319"/>
            <w:vAlign w:val="center"/>
            <w:tcMar>
              <w:top w:w="80" w:type="dxa"/>
              <w:bottom w:w="80" w:type="dxa"/>
              <w:left w:w="100" w:type="dxa"/>
              <w:right w:w="100" w:type="dxa"/>
            </w:tcMar>
            <w:shd w:fill="EFF3F7"/>
          </w:tcPr>
          <w:p>
            <w:pPr>
              <w:pStyle w:val="TableText"/>
              <w:jc w:val="center"/>
            </w:pPr>
            <w:r>
              <w:rPr>
                <w:b w:val="0"/>
              </w:rPr>
              <w:t>31,104%</w:t>
            </w:r>
          </w:p>
        </w:tc>
        <w:tc>
          <w:tcPr>
            <w:tcW w:type="dxa" w:w="3319"/>
            <w:vAlign w:val="center"/>
            <w:tcMar>
              <w:top w:w="80" w:type="dxa"/>
              <w:bottom w:w="80" w:type="dxa"/>
              <w:left w:w="100" w:type="dxa"/>
              <w:right w:w="100" w:type="dxa"/>
            </w:tcMar>
            <w:shd w:fill="EFF3F7"/>
          </w:tcPr>
          <w:p>
            <w:pPr>
              <w:pStyle w:val="TableText"/>
              <w:jc w:val="center"/>
            </w:pPr>
            <w:r>
              <w:rPr>
                <w:b w:val="0"/>
              </w:rPr>
              <w:t>58,630%</w:t>
            </w:r>
          </w:p>
        </w:tc>
      </w:tr>
    </w:tbl>
    <w:p>
      <w:pPr>
        <w:spacing w:before="100"/>
      </w:pPr>
      <w:r>
        <w:t>H10 chỉ đúng chiều khoảng 49–50% tại các mốc tăng/giảm mạnh; khi tăng, chỉ số bám biên độ tổng hợp đạt khoảng 7–8%. H30/H60 đúng chiều tốt hơn, khoảng 85,6–96,0%, nhưng khi tăng mạnh mới bám khoảng 34–57% biên độ. Như vậy, dự đoán có thể đi đúng hướng nhưng vẫn chưa theo đủ mức tăng demand.</w:t>
      </w:r>
    </w:p>
    <w:p>
      <w:pPr>
        <w:pStyle w:val="Note"/>
      </w:pPr>
      <w:r>
        <w:t>H30/H60 có cửa sổ target chồng lấn nên các chỉ số này không so trực tiếp với H10 như cùng một bài toán. Những mốc liên tiếp có thể thuộc cùng một đợt biến động. Báo cáo hiện chưa đo được model chậm phản ứng bao nhiêu phút.</w:t>
      </w:r>
    </w:p>
    <w:p>
      <w:pPr>
        <w:pStyle w:val="Heading1"/>
        <w:pageBreakBefore/>
      </w:pPr>
      <w:r>
        <w:t>5 Đồng bộ notebook với luồng huấn luyện và dự đoán</w:t>
      </w:r>
    </w:p>
    <w:p>
      <w:r>
        <w:t>Từ cấu hình đã chốt, em đã cập nhật source để pipeline dùng đúng 25/33 feature và cùng cách tạo target, chia tập, refit, làm tròn prediction như notebook. Artifact lưu thứ tự feature, gốc thời gian của trend_day và ánh xạ mã hex. Phần tạo feature khi dự đoán cũng được sửa tương ứng để tránh lệch giữa train và inference.</w:t>
      </w:r>
    </w:p>
    <w:p>
      <w:r>
        <w:t>Luồng mặc định dùng số lá và số cây đã chốt cho từng model; vẫn có tùy chọn chạy lại quy trình tìm tham số trên toàn validation. Hai lớp hiệu chỉnh không được đưa vào inference. Khi dự đoán, hệ thống đọc model đã lưu; không huấn luyện lại theo mỗi lần gọi dự đoán.</w:t>
      </w:r>
    </w:p>
    <w:p>
      <w:r>
        <w:t>Bản source chuyển đổi đã vượt qua 39 bài kiểm tra trên môi trường local, gồm đối chiếu feature, target và split với code notebook, cùng thử nghiệm train LightGBM rồi lưu và dự đoán trên dữ liệu nhỏ. Chưa chạy lại toàn bộ dữ liệu hoặc kiểm chứng end-to-end trên Docker, Airflow và PostgreSQL sau lần sửa này.</w:t>
      </w:r>
    </w:p>
    <w:p>
      <w:pPr>
        <w:pStyle w:val="Heading1"/>
      </w:pPr>
      <w:r>
        <w:t>6 Nhận xét và giới hạn của kết quả</w:t>
      </w:r>
    </w:p>
    <w:p>
      <w:pPr>
        <w:pStyle w:val="ListBullet"/>
      </w:pPr>
      <w:r>
        <w:t>Model gốc có WMAPE tổng thể tốt hơn số liệu đã báo cáo tuần 2, nhưng lỗi tại các đợt biến động còn cao. Chưa đủ cơ sở dùng kết quả trung bình để khẳng định model đã bám sát demand realtime.</w:t>
      </w:r>
    </w:p>
    <w:p>
      <w:pPr>
        <w:pStyle w:val="ListBullet"/>
      </w:pPr>
      <w:r>
        <w:t>Dữ liệu vẫn là dữ liệu giả lập. Khả năng học pattern trong bộ dữ liệu này chưa chứng minh được chất lượng trên booking thực tế.</w:t>
      </w:r>
    </w:p>
    <w:p>
      <w:pPr>
        <w:pStyle w:val="ListBullet"/>
      </w:pPr>
      <w:r>
        <w:t>Nhóm hiệu chỉnh được chọn từ nhãn toàn test nên kết quả sau bù là phân tích hồi cứu. Muốn đánh giá độc lập, cần khóa nhóm và hệ số trước khi kiểm tra trên giai đoạn dữ liệu mới.</w:t>
      </w:r>
    </w:p>
    <w:p>
      <w:pPr>
        <w:pStyle w:val="ListBullet"/>
      </w:pPr>
      <w:r>
        <w:t>Validation đã dùng chọn model; prediction validation đến từ model train-only, còn test dùng model refit TRAIN+VAL. Sự khác biệt này có thể làm hệ số hiệu chỉnh chuyển sang test không còn phù hợp, nhưng chưa được xác nhận là nguyên nhân duy nhất.</w:t>
      </w:r>
    </w:p>
    <w:p>
      <w:pPr>
        <w:pStyle w:val="Heading1"/>
      </w:pPr>
      <w:r>
        <w:t>7 Kế hoạch tiếp theo</w:t>
      </w:r>
    </w:p>
    <w:p>
      <w:pPr>
        <w:pStyle w:val="ListBullet"/>
      </w:pPr>
      <w:r>
        <w:t>Chạy lại pipeline đã cập nhật, kiểm tra đủ sáu artifact và so prediction từ artifact với notebook trên cùng input; xác nhận thứ tự feature, mã hex, múi giờ và dữ liệu đã có tại T.</w:t>
      </w:r>
    </w:p>
    <w:p>
      <w:pPr>
        <w:pStyle w:val="ListBullet"/>
      </w:pPr>
      <w:r>
        <w:t>Kiểm tra kỹ các đợt tăng/giảm mạnh, ưu tiên phản ứng H10 và sai số H60. Bổ sung đo độ trễ phản ứng, lỗi tại đỉnh và thời gian dự đoán trở lại sát actual sau mỗi đợt.</w:t>
      </w:r>
    </w:p>
    <w:p>
      <w:pPr>
        <w:pStyle w:val="ListBullet"/>
      </w:pPr>
      <w:r>
        <w:t>Khóa cấu hình trước khi đánh giá trên một giai đoạn mới hoặc nhiều cửa sổ thời gian. Kiểm tra thêm dữ liệu thật và độ trễ ingest T−10/T−20 trước khi chạy shadow, tức ghi dự đoán mà chưa tác động điều phối.</w:t>
      </w:r>
    </w:p>
    <w:p>
      <w:r>
        <w:t>Kết luận tuần 3: em chọn sáu model LightGBM gốc làm ứng viên tiếp tục kiểm thử pipeline, chưa bật hiệu chỉnh sau dự đoán. Việc chốt cấu hình giúp thống nhất cách train và inference; quyết định dùng model để điều phối tự động vẫn cần thêm bằng chứng về dữ liệu thực tế và chất lượng khi demand biến động mạnh.</w:t>
      </w:r>
    </w:p>
    <w:p>
      <w:pPr>
        <w:pStyle w:val="Note"/>
      </w:pPr>
      <w:r>
        <w:t>Nguồn số liệu: output đã lưu trong final.ipynb, các phần refit, test và ba cell phân tích cuối; Tuan_2.docx dùng để đối chiếu tiến độ. Trạng thái kiểm tra source lấy từ bản cập nhật pipeline kèm VALIDATION.md.</w:t>
      </w:r>
    </w:p>
    <w:sectPr w:rsidR="00FC693F" w:rsidRPr="0006063C" w:rsidSect="00034616">
      <w:footerReference w:type="default" r:id="rId9"/>
      <w:pgSz w:w="12240" w:h="15840"/>
      <w:pgMar w:top="979" w:right="1037" w:bottom="979" w:left="1037"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9" w:lineRule="auto"/>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9" w:lineRule="auto"/>
      <w:outlineLvl w:val="1"/>
    </w:pPr>
    <w:rPr>
      <w:rFonts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9" w:lineRule="auto"/>
      <w:contextualSpacing/>
    </w:pPr>
    <w:rPr>
      <w:rFonts w:cstheme="majorBidi"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9" w:lineRule="auto"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widowControl/>
      <w:numPr>
        <w:numId w:val="1"/>
      </w:numPr>
      <w:spacing w:line="259"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100" w:line="252" w:lineRule="auto"/>
    </w:pPr>
    <w:rPr>
      <w:rFonts w:ascii="Times New Roman" w:hAnsi="Times New Roman" w:eastAsia="Times New Roman" w:cs="Times New Roman"/>
      <w:color w:val="000000"/>
      <w:sz w:val="21"/>
    </w:rPr>
  </w:style>
  <w:style w:type="paragraph" w:customStyle="1" w:styleId="TableText">
    <w:name w:val="Table Text"/>
    <w:pPr>
      <w:spacing w:after="0" w:line="252" w:lineRule="auto"/>
    </w:pPr>
    <w:rPr>
      <w:rFonts w:ascii="Times New Roman" w:hAnsi="Times New Roman" w:eastAsia="Times New Roman" w:cs="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3 về dự báo nhu cầu di chuyển</dc:title>
  <dc:subject>Chốt mô hình LightGBM và kiểm tra hiệu chỉnh cùng khả năng bám biến động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