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kiểm định giả thuyết</w:t>
      </w:r>
    </w:p>
    <w:p>
      <w:r>
        <w:t>Bài học về kiểm định T-test và Mann-Whitney U</w:t>
      </w:r>
    </w:p>
    <w:p>
      <w:pPr>
        <w:pStyle w:val="Heading1"/>
      </w:pPr>
      <w:r>
        <w:rPr>
          <w:b/>
          <w:color w:val="1E3A8A"/>
        </w:rPr>
        <w:t>Tài liệu kiểm định giả thuyết</w:t>
      </w:r>
    </w:p>
    <w:p>
      <w:r>
        <w:t>Bài học về kiểm định T-test và Mann-Whitney U</w:t>
      </w:r>
    </w:p>
    <w:p>
      <w:pPr>
        <w:pStyle w:val="Heading2"/>
      </w:pPr>
      <w:r>
        <w:rPr>
          <w:b/>
          <w:color w:val="0F766E"/>
        </w:rPr>
        <w:t>1. Giới thiệu kiểm định</w:t>
      </w:r>
    </w:p>
    <w:p>
      <w:r>
        <w:t xml:space="preserve">Trong chương này, ta xem xét kiểm định T-test. Công thức tính T-score là: </w:t>
      </w:r>
      <w:r>
        <w:drawing>
          <wp:inline xmlns:a="http://schemas.openxmlformats.org/drawingml/2006/main" xmlns:pic="http://schemas.openxmlformats.org/drawingml/2006/picture">
            <wp:extent cx="460504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504" cy="25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Nếu phân phối lệch, ta dùng Mann-Whitney U test.</w:t>
      </w:r>
    </w:p>
    <w:p>
      <w:r>
        <w:t xml:space="preserve">Dưới đây là sơ đồ quy trình quyết định chưa chèn URL: </w:t>
      </w:r>
      <w:r>
        <w:t>![Sơ đồ quy trình lựa chọn kiểm định so sánh 2 nhóm](&lt;placeholder: Sơ đồ luồng quyết định: Bắt đầu từ kiểm tra phân phối chuẩn (Shapiro-Wilk) -&gt; Nếu chuẩn: dùng T-test; Nếu lệch: dùng Mann-Whitney U test. | Minimalist 2D vector art, clean design, scientific style, white background, no text clutter, flowchart showing decision path between t-test and Wilcoxon rank-sum test based on normality assumption.&gt;)</w:t>
      </w:r>
    </w:p>
    <w:p>
      <w:r>
        <w:t xml:space="preserve">Và dưới đây là logo mẫu (ảnh thực tế): </w:t>
      </w:r>
      <w:r>
        <w:drawing>
          <wp:inline xmlns:a="http://schemas.openxmlformats.org/drawingml/2006/main" xmlns:pic="http://schemas.openxmlformats.org/drawingml/2006/picture">
            <wp:extent cx="901147" cy="30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147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E3A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F76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