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QUY ĐỊNH XÉT CẤP HỌC BỔNG KHUYẾN KHÍCH HỌC TẬP SINH VIÊN ĐẠI HỌC BÁCH KHOA HÀ NỘI</w:t>
      </w:r>
    </w:p>
    <w:p>
      <w:pPr>
        <w:spacing w:before="180" w:after="80"/>
        <w:ind w:firstLine="0"/>
        <w:jc w:val="left"/>
      </w:pPr>
      <w:r>
        <w:rPr>
          <w:rFonts w:ascii="Times New Roman" w:hAnsi="Times New Roman"/>
          <w:b/>
          <w:i w:val="0"/>
          <w:color w:val="000000"/>
          <w:sz w:val="26"/>
        </w:rPr>
        <w:t>1. Mục đích và Nguồn Quỹ Học bổng</w:t>
      </w:r>
    </w:p>
    <w:p>
      <w:pPr>
        <w:spacing w:before="0" w:after="60" w:line="300" w:lineRule="auto"/>
        <w:ind w:left="283" w:hanging="227"/>
        <w:jc w:val="both"/>
      </w:pPr>
      <w:r>
        <w:rPr>
          <w:rFonts w:ascii="Times New Roman" w:hAnsi="Times New Roman"/>
          <w:b w:val="0"/>
          <w:i w:val="0"/>
          <w:color w:val="000000"/>
          <w:sz w:val="26"/>
        </w:rPr>
        <w:t>• Học bổng Khuyến khích học tập (KKHT) được xét cấp hàng kỳ nhằm động viên, khuyến khích sinh viên đại học chính quy có kết quả học tập và rèn luyện tốt.</w:t>
      </w:r>
    </w:p>
    <w:p>
      <w:pPr>
        <w:spacing w:before="0" w:after="60" w:line="300" w:lineRule="auto"/>
        <w:ind w:left="283" w:hanging="227"/>
        <w:jc w:val="both"/>
      </w:pPr>
      <w:r>
        <w:rPr>
          <w:rFonts w:ascii="Times New Roman" w:hAnsi="Times New Roman"/>
          <w:b w:val="0"/>
          <w:i w:val="0"/>
          <w:color w:val="000000"/>
          <w:sz w:val="26"/>
        </w:rPr>
        <w:t>• Nguồn kinh phí trích tối thiểu 8% từ tổng thu học phí hệ đại học chính quy trong học kỳ xét cấp.</w:t>
      </w:r>
    </w:p>
    <w:p>
      <w:pPr>
        <w:spacing w:before="180" w:after="80"/>
        <w:ind w:firstLine="0"/>
        <w:jc w:val="left"/>
      </w:pPr>
      <w:r>
        <w:rPr>
          <w:rFonts w:ascii="Times New Roman" w:hAnsi="Times New Roman"/>
          <w:b/>
          <w:i w:val="0"/>
          <w:color w:val="000000"/>
          <w:sz w:val="26"/>
        </w:rPr>
        <w:t>2. Tiêu chuẩn và Phân loại Mức Học bổng</w:t>
      </w:r>
    </w:p>
    <w:p>
      <w:pPr>
        <w:spacing w:before="0" w:after="80" w:line="300" w:lineRule="auto"/>
        <w:ind w:firstLine="720"/>
        <w:jc w:val="both"/>
      </w:pPr>
      <w:r>
        <w:rPr>
          <w:rFonts w:ascii="Times New Roman" w:hAnsi="Times New Roman"/>
          <w:b w:val="0"/>
          <w:i w:val="0"/>
          <w:color w:val="000000"/>
          <w:sz w:val="26"/>
        </w:rPr>
        <w:t>Học bổng KKHT bao gồm 3 loại (Loại A, Loại B, Loại C) dựa trên Điểm trung bình học kỳ (GPA) và Điểm rèn luyện (DRL):</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Học bổng Loại C (Khá):</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Điều kiện:</w:t>
      </w:r>
      <w:r>
        <w:rPr>
          <w:rFonts w:ascii="Times New Roman" w:hAnsi="Times New Roman"/>
          <w:b w:val="0"/>
          <w:i w:val="0"/>
          <w:color w:val="000000"/>
          <w:sz w:val="26"/>
        </w:rPr>
        <w:t xml:space="preserve"> GPA học kỳ ≥ 2.50 / 4.00 và Điểm rèn luyện (DRL) ≥ 65 điểm.</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Mức tiền:</w:t>
      </w:r>
      <w:r>
        <w:rPr>
          <w:rFonts w:ascii="Times New Roman" w:hAnsi="Times New Roman"/>
          <w:b w:val="0"/>
          <w:i w:val="0"/>
          <w:color w:val="000000"/>
          <w:sz w:val="26"/>
        </w:rPr>
        <w:t xml:space="preserve"> Bằng 100% mức học phí của tất cả các học phần sinh viên đăng ký trong học kỳ đó.</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Học bổng Loại B (Giỏi):</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Điều kiện:</w:t>
      </w:r>
      <w:r>
        <w:rPr>
          <w:rFonts w:ascii="Times New Roman" w:hAnsi="Times New Roman"/>
          <w:b w:val="0"/>
          <w:i w:val="0"/>
          <w:color w:val="000000"/>
          <w:sz w:val="26"/>
        </w:rPr>
        <w:t xml:space="preserve"> GPA học kỳ ≥ 3.20 / 4.00 và Điểm rèn luyện (DRL) ≥ 80 điểm.</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Mức tiền:</w:t>
      </w:r>
      <w:r>
        <w:rPr>
          <w:rFonts w:ascii="Times New Roman" w:hAnsi="Times New Roman"/>
          <w:b w:val="0"/>
          <w:i w:val="0"/>
          <w:color w:val="000000"/>
          <w:sz w:val="26"/>
        </w:rPr>
        <w:t xml:space="preserve"> Bằng 120% mức tiền học bổng Loại C.</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Học bổng Loại A (Xuất sắc):</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Điều kiện:</w:t>
      </w:r>
      <w:r>
        <w:rPr>
          <w:rFonts w:ascii="Times New Roman" w:hAnsi="Times New Roman"/>
          <w:b w:val="0"/>
          <w:i w:val="0"/>
          <w:color w:val="000000"/>
          <w:sz w:val="26"/>
        </w:rPr>
        <w:t xml:space="preserve"> GPA học kỳ ≥ 3.60 / 4.00 và Điểm rèn luyện (DRL) ≥ 90 điểm.</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Mức tiền:</w:t>
      </w:r>
      <w:r>
        <w:rPr>
          <w:rFonts w:ascii="Times New Roman" w:hAnsi="Times New Roman"/>
          <w:b w:val="0"/>
          <w:i w:val="0"/>
          <w:color w:val="000000"/>
          <w:sz w:val="26"/>
        </w:rPr>
        <w:t xml:space="preserve"> Bằng 150% mức tiền học bổng Loại C.</w:t>
      </w:r>
    </w:p>
    <w:p>
      <w:pPr>
        <w:spacing w:before="180" w:after="80"/>
        <w:ind w:firstLine="0"/>
        <w:jc w:val="left"/>
      </w:pPr>
      <w:r>
        <w:rPr>
          <w:rFonts w:ascii="Times New Roman" w:hAnsi="Times New Roman"/>
          <w:b/>
          <w:i w:val="0"/>
          <w:color w:val="000000"/>
          <w:sz w:val="26"/>
        </w:rPr>
        <w:t>3. Điều kiện Ràng buộc Khác</w:t>
      </w:r>
    </w:p>
    <w:p>
      <w:pPr>
        <w:spacing w:before="0" w:after="60" w:line="300" w:lineRule="auto"/>
        <w:ind w:left="283" w:hanging="227"/>
        <w:jc w:val="both"/>
      </w:pPr>
      <w:r>
        <w:rPr>
          <w:rFonts w:ascii="Times New Roman" w:hAnsi="Times New Roman"/>
          <w:b w:val="0"/>
          <w:i w:val="0"/>
          <w:color w:val="000000"/>
          <w:sz w:val="26"/>
        </w:rPr>
        <w:t>• Sinh viên phải hoàn thành tối thiểu 15 tín chỉ trong học kỳ xét cấp (không tính các học phần Miễn học / Đổi điểm).</w:t>
      </w:r>
    </w:p>
    <w:p>
      <w:pPr>
        <w:spacing w:before="0" w:after="60" w:line="300" w:lineRule="auto"/>
        <w:ind w:left="283" w:hanging="227"/>
        <w:jc w:val="both"/>
      </w:pPr>
      <w:r>
        <w:rPr>
          <w:rFonts w:ascii="Times New Roman" w:hAnsi="Times New Roman"/>
          <w:b w:val="0"/>
          <w:i w:val="0"/>
          <w:color w:val="000000"/>
          <w:sz w:val="26"/>
        </w:rPr>
        <w:t xml:space="preserve">• Không có học phần nào bị điểm </w:t>
      </w:r>
      <w:r>
        <w:rPr>
          <w:rFonts w:ascii="Times New Roman" w:hAnsi="Times New Roman"/>
          <w:b w:val="0"/>
          <w:i w:val="0"/>
          <w:color w:val="000000"/>
          <w:sz w:val="26"/>
        </w:rPr>
        <w:t>F</w:t>
      </w:r>
      <w:r>
        <w:rPr>
          <w:rFonts w:ascii="Times New Roman" w:hAnsi="Times New Roman"/>
          <w:b w:val="0"/>
          <w:i w:val="0"/>
          <w:color w:val="000000"/>
          <w:sz w:val="26"/>
        </w:rPr>
        <w:t xml:space="preserve"> trong học kỳ xét cấp.</w:t>
      </w:r>
    </w:p>
    <w:p>
      <w:pPr>
        <w:spacing w:before="0" w:after="60" w:line="300" w:lineRule="auto"/>
        <w:ind w:left="283" w:hanging="227"/>
        <w:jc w:val="both"/>
      </w:pPr>
      <w:r>
        <w:rPr>
          <w:rFonts w:ascii="Times New Roman" w:hAnsi="Times New Roman"/>
          <w:b w:val="0"/>
          <w:i w:val="0"/>
          <w:color w:val="000000"/>
          <w:sz w:val="26"/>
        </w:rPr>
        <w:t>• Không bị xử lý kỷ luật từ mức Khiển trách trở lên trong học kỳ xét học bổng.</w:t>
      </w:r>
    </w:p>
    <w:p>
      <w:pPr>
        <w:spacing w:before="180" w:after="80"/>
        <w:ind w:firstLine="0"/>
        <w:jc w:val="left"/>
      </w:pPr>
      <w:r>
        <w:rPr>
          <w:rFonts w:ascii="Times New Roman" w:hAnsi="Times New Roman"/>
          <w:b/>
          <w:i w:val="0"/>
          <w:color w:val="000000"/>
          <w:sz w:val="26"/>
        </w:rPr>
        <w:t>4. Quy trình Xét cấp và Chi trả</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Xét cấp tự động:</w:t>
      </w:r>
      <w:r>
        <w:rPr>
          <w:rFonts w:ascii="Times New Roman" w:hAnsi="Times New Roman"/>
          <w:b w:val="0"/>
          <w:i w:val="0"/>
          <w:color w:val="000000"/>
          <w:sz w:val="26"/>
        </w:rPr>
        <w:t xml:space="preserve"> Nhà trường chủ động xét cấp dựa trên dữ liệu điểm học tập và điểm rèn luyện tích hợp trên hệ thống SIS, sinh viên không cần làm đơn đăng ký.</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Thứ tự ưu tiên:</w:t>
      </w:r>
      <w:r>
        <w:rPr>
          <w:rFonts w:ascii="Times New Roman" w:hAnsi="Times New Roman"/>
          <w:b w:val="0"/>
          <w:i w:val="0"/>
          <w:color w:val="000000"/>
          <w:sz w:val="26"/>
        </w:rPr>
        <w:t xml:space="preserve"> Trong trường hợp số lượng sinh viên đủ điều kiện vượt quá ngân sách quỹ học bổng của ngành/viện, hệ thống sẽ xếp thứ tự ưu tiên theo điểm GPA từ cao xuống thấp, sau đó đến điểm DRL.</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Chi trả:</w:t>
      </w:r>
      <w:r>
        <w:rPr>
          <w:rFonts w:ascii="Times New Roman" w:hAnsi="Times New Roman"/>
          <w:b w:val="0"/>
          <w:i w:val="0"/>
          <w:color w:val="000000"/>
          <w:sz w:val="26"/>
        </w:rPr>
        <w:t xml:space="preserve"> Tiền học bổng được chuyển khoản trực tiếp vào tài khoản ngân hàng liên kết của sinh viên hoặc trừ trực tiếp vào công nợ học phí học kỳ tiếp theo.</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