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252"/>
        <w:gridCol w:w="5102"/>
      </w:tblGrid>
      <w:tr>
        <w:tc>
          <w:tcPr>
            <w:tcW w:type="dxa" w:w="4677"/>
          </w:tcPr>
          <w:p>
            <w:pPr>
              <w:spacing w:before="0" w:after="0" w:line="276" w:lineRule="auto"/>
              <w:ind w:firstLine="0"/>
              <w:jc w:val="center"/>
            </w:pPr>
            <w:r>
              <w:rPr>
                <w:rFonts w:ascii="Times New Roman" w:hAnsi="Times New Roman"/>
                <w:color w:val="000000"/>
                <w:sz w:val="24"/>
              </w:rPr>
              <w:t>BỘ GIÁO DỤC VÀ ĐÀO TẠO</w:t>
            </w:r>
          </w:p>
          <w:p>
            <w:pPr>
              <w:spacing w:before="0" w:after="40" w:line="276" w:lineRule="auto"/>
              <w:ind w:firstLine="0"/>
              <w:jc w:val="center"/>
            </w:pPr>
            <w:r>
              <w:rPr>
                <w:rFonts w:ascii="Times New Roman" w:hAnsi="Times New Roman"/>
                <w:b/>
                <w:color w:val="000000"/>
                <w:sz w:val="24"/>
              </w:rPr>
              <w:t>ĐẠI HỌC BÁCH KHOA HÀ NỘI</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color w:val="000000"/>
                <w:sz w:val="24"/>
              </w:rPr>
              <w:t>Số: .../QĐ-ĐHBK</w:t>
            </w:r>
          </w:p>
        </w:tc>
        <w:tc>
          <w:tcPr>
            <w:tcW w:type="dxa" w:w="4677"/>
          </w:tcPr>
          <w:p>
            <w:pPr>
              <w:spacing w:before="0" w:after="0" w:line="276" w:lineRule="auto"/>
              <w:ind w:firstLine="0"/>
              <w:jc w:val="center"/>
            </w:pPr>
            <w:r>
              <w:rPr>
                <w:rFonts w:ascii="Times New Roman" w:hAnsi="Times New Roman"/>
                <w:b/>
                <w:color w:val="000000"/>
                <w:sz w:val="24"/>
              </w:rPr>
              <w:t>CỘNG HÒA XÃ HỘI CHỦ NGHĨA VIỆT NAM</w:t>
            </w:r>
          </w:p>
          <w:p>
            <w:pPr>
              <w:spacing w:before="0" w:after="40" w:line="276" w:lineRule="auto"/>
              <w:ind w:firstLine="0"/>
              <w:jc w:val="center"/>
            </w:pPr>
            <w:r>
              <w:rPr>
                <w:rFonts w:ascii="Times New Roman" w:hAnsi="Times New Roman"/>
                <w:b/>
                <w:color w:val="000000"/>
                <w:sz w:val="26"/>
                <w:u w:val="single"/>
              </w:rPr>
              <w:t>Độc lập - Tự do - Hạnh phúc</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i/>
                <w:color w:val="000000"/>
                <w:sz w:val="26"/>
              </w:rPr>
              <w:t>Hà Nội, ngày 03 tháng 08 năm 2026</w:t>
            </w:r>
          </w:p>
        </w:tc>
      </w:tr>
    </w:tbl>
    <w:p>
      <w:pPr>
        <w:spacing w:before="120" w:after="120"/>
      </w:pPr>
    </w:p>
    <w:p>
      <w:pPr>
        <w:spacing w:before="240" w:after="240" w:line="300" w:lineRule="auto"/>
        <w:ind w:firstLine="0"/>
        <w:jc w:val="center"/>
      </w:pPr>
      <w:r>
        <w:rPr>
          <w:rFonts w:ascii="Times New Roman" w:hAnsi="Times New Roman"/>
          <w:b/>
          <w:color w:val="000000"/>
          <w:sz w:val="30"/>
        </w:rPr>
        <w:t>CHÍNH SÁCH HỌC BỔNG HỖ TRỢ SINH VIÊN HOÀN CẢNH KHÓ KHĂN TRẦN ĐẠI NGHĨA HUST</w:t>
      </w:r>
    </w:p>
    <w:p>
      <w:pPr>
        <w:spacing w:before="180" w:after="80"/>
        <w:ind w:firstLine="0"/>
        <w:jc w:val="left"/>
      </w:pPr>
      <w:r>
        <w:rPr>
          <w:rFonts w:ascii="Times New Roman" w:hAnsi="Times New Roman"/>
          <w:b/>
          <w:i w:val="0"/>
          <w:color w:val="000000"/>
          <w:sz w:val="26"/>
        </w:rPr>
        <w:t>1. Mục đích và Ý nghĩa</w:t>
      </w:r>
    </w:p>
    <w:p>
      <w:pPr>
        <w:spacing w:before="0" w:after="60" w:line="300" w:lineRule="auto"/>
        <w:ind w:left="283" w:hanging="227"/>
        <w:jc w:val="both"/>
      </w:pPr>
      <w:r>
        <w:rPr>
          <w:rFonts w:ascii="Times New Roman" w:hAnsi="Times New Roman"/>
          <w:b w:val="0"/>
          <w:i w:val="0"/>
          <w:color w:val="000000"/>
          <w:sz w:val="26"/>
        </w:rPr>
        <w:t>• Học bổng Trần Đại Nghĩa là quỹ học bổng mang tên Cố Giáo sư, Thiếu tướng Trần Đại Nghĩa - Hiệu trưởng đầu tiên của Đại học Bách khoa Hà Nội.</w:t>
      </w:r>
    </w:p>
    <w:p>
      <w:pPr>
        <w:spacing w:before="0" w:after="60" w:line="300" w:lineRule="auto"/>
        <w:ind w:left="283" w:hanging="227"/>
        <w:jc w:val="both"/>
      </w:pPr>
      <w:r>
        <w:rPr>
          <w:rFonts w:ascii="Times New Roman" w:hAnsi="Times New Roman"/>
          <w:b w:val="0"/>
          <w:i w:val="0"/>
          <w:color w:val="000000"/>
          <w:sz w:val="26"/>
        </w:rPr>
        <w:t>• Học bổng nhằm hỗ trợ tài chính cho sinh viên đại học chính quy có hoàn cảnh kinh tế gia đình đặc biệt khó khăn, giàu nghị lực và có tinh thần vươn lên trong học tập.</w:t>
      </w:r>
    </w:p>
    <w:p>
      <w:pPr>
        <w:spacing w:before="180" w:after="80"/>
        <w:ind w:firstLine="0"/>
        <w:jc w:val="left"/>
      </w:pPr>
      <w:r>
        <w:rPr>
          <w:rFonts w:ascii="Times New Roman" w:hAnsi="Times New Roman"/>
          <w:b/>
          <w:i w:val="0"/>
          <w:color w:val="000000"/>
          <w:sz w:val="26"/>
        </w:rPr>
        <w:t>2. Đối tượng và Tiêu chuẩn Xét cấp</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Đối tượng áp dụng:</w:t>
      </w:r>
      <w:r>
        <w:rPr>
          <w:rFonts w:ascii="Times New Roman" w:hAnsi="Times New Roman"/>
          <w:b w:val="0"/>
          <w:i w:val="0"/>
          <w:color w:val="000000"/>
          <w:sz w:val="26"/>
        </w:rPr>
        <w:t xml:space="preserve"> Sinh viên đang theo học hệ đại học chính quy tại Đại học Bách khoa Hà Nội.</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Tiêu chuẩn hoàn cảnh:</w:t>
      </w:r>
    </w:p>
    <w:p>
      <w:pPr>
        <w:spacing w:before="0" w:after="60" w:line="300" w:lineRule="auto"/>
        <w:ind w:left="567" w:hanging="227"/>
        <w:jc w:val="both"/>
      </w:pPr>
      <w:r>
        <w:rPr>
          <w:rFonts w:ascii="Times New Roman" w:hAnsi="Times New Roman"/>
          <w:b w:val="0"/>
          <w:i w:val="0"/>
          <w:color w:val="000000"/>
          <w:sz w:val="26"/>
        </w:rPr>
        <w:t>• Gia đình thuộc diện Hộ nghèo, Hộ cận nghèo theo quy định của Nhà nước.</w:t>
      </w:r>
    </w:p>
    <w:p>
      <w:pPr>
        <w:spacing w:before="0" w:after="60" w:line="300" w:lineRule="auto"/>
        <w:ind w:left="567" w:hanging="227"/>
        <w:jc w:val="both"/>
      </w:pPr>
      <w:r>
        <w:rPr>
          <w:rFonts w:ascii="Times New Roman" w:hAnsi="Times New Roman"/>
          <w:b w:val="0"/>
          <w:i w:val="0"/>
          <w:color w:val="000000"/>
          <w:sz w:val="26"/>
        </w:rPr>
        <w:t>• Sinh viên mồ côi cả cha lẫn mẹ, hoặc mồ côi cha/mẹ và gia đình không có nguồn thu nhập ổn định.</w:t>
      </w:r>
    </w:p>
    <w:p>
      <w:pPr>
        <w:spacing w:before="0" w:after="60" w:line="300" w:lineRule="auto"/>
        <w:ind w:left="567" w:hanging="227"/>
        <w:jc w:val="both"/>
      </w:pPr>
      <w:r>
        <w:rPr>
          <w:rFonts w:ascii="Times New Roman" w:hAnsi="Times New Roman"/>
          <w:b w:val="0"/>
          <w:i w:val="0"/>
          <w:color w:val="000000"/>
          <w:sz w:val="26"/>
        </w:rPr>
        <w:t>• Gia đình gặp rủi ro đột xuất (thiên tai, hỏa hoạn, tai nạn nghiêm trọng, mắc bệnh hiểm nghèo).</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Tiêu chuẩn học tập và rèn luyện:</w:t>
      </w:r>
    </w:p>
    <w:p>
      <w:pPr>
        <w:spacing w:before="0" w:after="60" w:line="300" w:lineRule="auto"/>
        <w:ind w:left="567" w:hanging="227"/>
        <w:jc w:val="both"/>
      </w:pPr>
      <w:r>
        <w:rPr>
          <w:rFonts w:ascii="Times New Roman" w:hAnsi="Times New Roman"/>
          <w:b w:val="0"/>
          <w:i w:val="0"/>
          <w:color w:val="000000"/>
          <w:sz w:val="26"/>
        </w:rPr>
        <w:t>• Sinh viên năm thứ nhất: Xét dựa trên kết quả thi tuyển sinh đại học hoặc kết quả học tập THPT.</w:t>
      </w:r>
    </w:p>
    <w:p>
      <w:pPr>
        <w:spacing w:before="0" w:after="60" w:line="300" w:lineRule="auto"/>
        <w:ind w:left="567" w:hanging="227"/>
        <w:jc w:val="both"/>
      </w:pPr>
      <w:r>
        <w:rPr>
          <w:rFonts w:ascii="Times New Roman" w:hAnsi="Times New Roman"/>
          <w:b w:val="0"/>
          <w:i w:val="0"/>
          <w:color w:val="000000"/>
          <w:sz w:val="26"/>
        </w:rPr>
        <w:t>• Sinh viên từ năm thứ hai trở đi: CPA tích lũy đạt từ 2.00 / 4.00 trở lên và Điểm rèn luyện (DRL) kỳ gần nhất đạt từ 65 điểm trở lên.</w:t>
      </w:r>
    </w:p>
    <w:p>
      <w:pPr>
        <w:spacing w:before="180" w:after="80"/>
        <w:ind w:firstLine="0"/>
        <w:jc w:val="left"/>
      </w:pPr>
      <w:r>
        <w:rPr>
          <w:rFonts w:ascii="Times New Roman" w:hAnsi="Times New Roman"/>
          <w:b/>
          <w:i w:val="0"/>
          <w:color w:val="000000"/>
          <w:sz w:val="26"/>
        </w:rPr>
        <w:t>3. Các Mức Hỗ trợ Học bổng Trần Đại Nghĩa</w:t>
      </w:r>
    </w:p>
    <w:p>
      <w:pPr>
        <w:spacing w:before="0" w:after="80" w:line="300" w:lineRule="auto"/>
        <w:ind w:firstLine="720"/>
        <w:jc w:val="both"/>
      </w:pPr>
      <w:r>
        <w:rPr>
          <w:rFonts w:ascii="Times New Roman" w:hAnsi="Times New Roman"/>
          <w:b w:val="0"/>
          <w:i w:val="0"/>
          <w:color w:val="000000"/>
          <w:sz w:val="26"/>
        </w:rPr>
        <w:t>Học bổng Trần Đại Nghĩa bao gồm 2 hình thức hỗ trợ chính:</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Mức Hỗ trợ Học phí theo Học kỳ:</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val="0"/>
          <w:i/>
          <w:color w:val="000000"/>
          <w:sz w:val="26"/>
        </w:rPr>
        <w:t>Mức 100% Học phí:</w:t>
      </w:r>
      <w:r>
        <w:rPr>
          <w:rFonts w:ascii="Times New Roman" w:hAnsi="Times New Roman"/>
          <w:b w:val="0"/>
          <w:i w:val="0"/>
          <w:color w:val="000000"/>
          <w:sz w:val="26"/>
        </w:rPr>
        <w:t xml:space="preserve"> Dành cho sinh viên có hoàn cảnh đặc biệt khó khăn, mồ côi hoặc hộ nghèo.</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val="0"/>
          <w:i/>
          <w:color w:val="000000"/>
          <w:sz w:val="26"/>
        </w:rPr>
        <w:t>Mức 50% Học phí:</w:t>
      </w:r>
      <w:r>
        <w:rPr>
          <w:rFonts w:ascii="Times New Roman" w:hAnsi="Times New Roman"/>
          <w:b w:val="0"/>
          <w:i w:val="0"/>
          <w:color w:val="000000"/>
          <w:sz w:val="26"/>
        </w:rPr>
        <w:t xml:space="preserve"> Dành cho sinh viên thuộc diện hộ cận nghèo hoặc gia đình khó khăn đột xuất.</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Mức Hỗ trợ Đột xuất:</w:t>
      </w:r>
    </w:p>
    <w:p>
      <w:pPr>
        <w:spacing w:before="0" w:after="60" w:line="300" w:lineRule="auto"/>
        <w:ind w:left="567" w:hanging="227"/>
        <w:jc w:val="both"/>
      </w:pPr>
      <w:r>
        <w:rPr>
          <w:rFonts w:ascii="Times New Roman" w:hAnsi="Times New Roman"/>
          <w:b w:val="0"/>
          <w:i w:val="0"/>
          <w:color w:val="000000"/>
          <w:sz w:val="26"/>
        </w:rPr>
        <w:t>• Hỗ trợ từ 5.000.000 VNĐ đến 10.000.000 VNĐ / trường hợp dành cho sinh viên hoặc gia đình sinh viên gặp sự cố rủi ro đặc biệt nghiêm trọng trong học kỳ.</w:t>
      </w:r>
    </w:p>
    <w:p>
      <w:pPr>
        <w:spacing w:before="180" w:after="80"/>
        <w:ind w:firstLine="0"/>
        <w:jc w:val="left"/>
      </w:pPr>
      <w:r>
        <w:rPr>
          <w:rFonts w:ascii="Times New Roman" w:hAnsi="Times New Roman"/>
          <w:b/>
          <w:i w:val="0"/>
          <w:color w:val="000000"/>
          <w:sz w:val="26"/>
        </w:rPr>
        <w:t>4. Điều khoản Loại trừ và Ngoại lệ (Exceptions)</w:t>
      </w:r>
    </w:p>
    <w:p>
      <w:pPr>
        <w:spacing w:before="0" w:after="60" w:line="300" w:lineRule="auto"/>
        <w:ind w:left="283" w:hanging="227"/>
        <w:jc w:val="both"/>
      </w:pPr>
      <w:r>
        <w:rPr>
          <w:rFonts w:ascii="Times New Roman" w:hAnsi="Times New Roman"/>
          <w:b w:val="0"/>
          <w:i w:val="0"/>
          <w:color w:val="000000"/>
          <w:sz w:val="26"/>
        </w:rPr>
        <w:t xml:space="preserve">• Sinh viên </w:t>
      </w:r>
      <w:r>
        <w:rPr>
          <w:rFonts w:ascii="Times New Roman" w:hAnsi="Times New Roman"/>
          <w:b/>
          <w:i w:val="0"/>
          <w:color w:val="000000"/>
          <w:sz w:val="26"/>
        </w:rPr>
        <w:t>KHÔNG</w:t>
      </w:r>
      <w:r>
        <w:rPr>
          <w:rFonts w:ascii="Times New Roman" w:hAnsi="Times New Roman"/>
          <w:b w:val="0"/>
          <w:i w:val="0"/>
          <w:color w:val="000000"/>
          <w:sz w:val="26"/>
        </w:rPr>
        <w:t xml:space="preserve"> được xét nhận Học bổng Trần Đại Nghĩa trong học kỳ nếu thuộc một trong các trường hợp sau:</w:t>
      </w:r>
    </w:p>
    <w:p>
      <w:pPr>
        <w:spacing w:before="0" w:after="60" w:line="300" w:lineRule="auto"/>
        <w:ind w:left="567" w:hanging="227"/>
        <w:jc w:val="both"/>
      </w:pPr>
      <w:r>
        <w:rPr>
          <w:rFonts w:ascii="Times New Roman" w:hAnsi="Times New Roman"/>
          <w:b w:val="0"/>
          <w:i w:val="0"/>
          <w:color w:val="000000"/>
          <w:sz w:val="26"/>
        </w:rPr>
        <w:t>• Đã nhận Học bổng Khuyến khích học tập (KKHT) loại A, B, hoặc C trong cùng học kỳ.</w:t>
      </w:r>
    </w:p>
    <w:p>
      <w:pPr>
        <w:spacing w:before="0" w:after="60" w:line="300" w:lineRule="auto"/>
        <w:ind w:left="567" w:hanging="227"/>
        <w:jc w:val="both"/>
      </w:pPr>
      <w:r>
        <w:rPr>
          <w:rFonts w:ascii="Times New Roman" w:hAnsi="Times New Roman"/>
          <w:b w:val="0"/>
          <w:i w:val="0"/>
          <w:color w:val="000000"/>
          <w:sz w:val="26"/>
        </w:rPr>
        <w:t>• Đã nhận học bổng tài trợ doanh nghiệp toàn phần khác có giá trị lớn hơn hoặc bằng mức học phí học kỳ.</w:t>
      </w:r>
    </w:p>
    <w:p>
      <w:pPr>
        <w:spacing w:before="0" w:after="60" w:line="300" w:lineRule="auto"/>
        <w:ind w:left="567" w:hanging="227"/>
        <w:jc w:val="both"/>
      </w:pPr>
      <w:r>
        <w:rPr>
          <w:rFonts w:ascii="Times New Roman" w:hAnsi="Times New Roman"/>
          <w:b w:val="0"/>
          <w:i w:val="0"/>
          <w:color w:val="000000"/>
          <w:sz w:val="26"/>
        </w:rPr>
        <w:t>• Đang trong diện được miễn 100% học phí theo chính sách ưu đãi trợ cấp của Nhà nước.</w:t>
      </w:r>
    </w:p>
    <w:p>
      <w:pPr>
        <w:spacing w:before="180" w:after="80"/>
        <w:ind w:firstLine="0"/>
        <w:jc w:val="left"/>
      </w:pPr>
      <w:r>
        <w:rPr>
          <w:rFonts w:ascii="Times New Roman" w:hAnsi="Times New Roman"/>
          <w:b/>
          <w:i w:val="0"/>
          <w:color w:val="000000"/>
          <w:sz w:val="26"/>
        </w:rPr>
        <w:t>5. Quy trình Đăng ký và Hồ sơ Xét cấp</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Bước 1:</w:t>
      </w:r>
      <w:r>
        <w:rPr>
          <w:rFonts w:ascii="Times New Roman" w:hAnsi="Times New Roman"/>
          <w:b w:val="0"/>
          <w:i w:val="0"/>
          <w:color w:val="000000"/>
          <w:sz w:val="26"/>
        </w:rPr>
        <w:t xml:space="preserve"> Sinh viên khai báo thông tin và nộp đơn đăng ký trực tuyến trên ứng dụng iCTSV theo thông báo của Ban Công tác Sinh viên đầu mỗi học kỳ.</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Bước 2:</w:t>
      </w:r>
      <w:r>
        <w:rPr>
          <w:rFonts w:ascii="Times New Roman" w:hAnsi="Times New Roman"/>
          <w:b w:val="0"/>
          <w:i w:val="0"/>
          <w:color w:val="000000"/>
          <w:sz w:val="26"/>
        </w:rPr>
        <w:t xml:space="preserve"> Sinh viên chuẩn bị hồ sơ minh chứng bao gồm:</w:t>
      </w:r>
    </w:p>
    <w:p>
      <w:pPr>
        <w:spacing w:before="0" w:after="60" w:line="300" w:lineRule="auto"/>
        <w:ind w:left="567" w:hanging="227"/>
        <w:jc w:val="both"/>
      </w:pPr>
      <w:r>
        <w:rPr>
          <w:rFonts w:ascii="Times New Roman" w:hAnsi="Times New Roman"/>
          <w:b w:val="0"/>
          <w:i w:val="0"/>
          <w:color w:val="000000"/>
          <w:sz w:val="26"/>
        </w:rPr>
        <w:t>• Đơn xin xét cấp học bổng Trần Đại Nghĩa (theo mẫu của trường).</w:t>
      </w:r>
    </w:p>
    <w:p>
      <w:pPr>
        <w:spacing w:before="0" w:after="60" w:line="300" w:lineRule="auto"/>
        <w:ind w:left="567" w:hanging="227"/>
        <w:jc w:val="both"/>
      </w:pPr>
      <w:r>
        <w:rPr>
          <w:rFonts w:ascii="Times New Roman" w:hAnsi="Times New Roman"/>
          <w:b w:val="0"/>
          <w:i w:val="0"/>
          <w:color w:val="000000"/>
          <w:sz w:val="26"/>
        </w:rPr>
        <w:t>• Giấy chứng nhận Hộ nghèo / Hộ cận nghèo (bản sao công chứng còn hiệu lực) hoặc Giấy xác nhận hoàn cảnh khó khăn đột xuất có xác nhận của UBND cấp xã/phường.</w:t>
      </w:r>
    </w:p>
    <w:p>
      <w:pPr>
        <w:spacing w:before="0" w:after="60" w:line="300" w:lineRule="auto"/>
        <w:ind w:left="567" w:hanging="227"/>
        <w:jc w:val="both"/>
      </w:pPr>
      <w:r>
        <w:rPr>
          <w:rFonts w:ascii="Times New Roman" w:hAnsi="Times New Roman"/>
          <w:b w:val="0"/>
          <w:i w:val="0"/>
          <w:color w:val="000000"/>
          <w:sz w:val="26"/>
        </w:rPr>
        <w:t>• Bản sao các minh chứng rủi ro, hồ sơ bệnh án (nếu có).</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Bước 3:</w:t>
      </w:r>
      <w:r>
        <w:rPr>
          <w:rFonts w:ascii="Times New Roman" w:hAnsi="Times New Roman"/>
          <w:b w:val="0"/>
          <w:i w:val="0"/>
          <w:color w:val="000000"/>
          <w:sz w:val="26"/>
        </w:rPr>
        <w:t xml:space="preserve"> Nộp hồ sơ bản cứng về Ban Công tác Sinh viên (Phòng 101-102 Nhà C1) đúng thời hạn thông báo.</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80"/>
      <w:ind w:firstLine="72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