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252"/>
        <w:gridCol w:w="5102"/>
      </w:tblGrid>
      <w:tr>
        <w:tc>
          <w:tcPr>
            <w:tcW w:type="dxa" w:w="4677"/>
          </w:tcPr>
          <w:p>
            <w:pPr>
              <w:spacing w:before="0" w:after="0" w:line="276" w:lineRule="auto"/>
              <w:ind w:firstLine="0"/>
              <w:jc w:val="center"/>
            </w:pPr>
            <w:r>
              <w:rPr>
                <w:rFonts w:ascii="Times New Roman" w:hAnsi="Times New Roman"/>
                <w:color w:val="000000"/>
                <w:sz w:val="24"/>
              </w:rPr>
              <w:t>BỘ GIÁO DỤC VÀ ĐÀO TẠO</w:t>
            </w:r>
          </w:p>
          <w:p>
            <w:pPr>
              <w:spacing w:before="0" w:after="40" w:line="276" w:lineRule="auto"/>
              <w:ind w:firstLine="0"/>
              <w:jc w:val="center"/>
            </w:pPr>
            <w:r>
              <w:rPr>
                <w:rFonts w:ascii="Times New Roman" w:hAnsi="Times New Roman"/>
                <w:b/>
                <w:color w:val="000000"/>
                <w:sz w:val="24"/>
              </w:rPr>
              <w:t>ĐẠI HỌC BÁCH KHOA HÀ NỘI</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color w:val="000000"/>
                <w:sz w:val="24"/>
              </w:rPr>
              <w:t>Số: .../QĐ-ĐHBK</w:t>
            </w:r>
          </w:p>
        </w:tc>
        <w:tc>
          <w:tcPr>
            <w:tcW w:type="dxa" w:w="4677"/>
          </w:tcPr>
          <w:p>
            <w:pPr>
              <w:spacing w:before="0" w:after="0" w:line="276" w:lineRule="auto"/>
              <w:ind w:firstLine="0"/>
              <w:jc w:val="center"/>
            </w:pPr>
            <w:r>
              <w:rPr>
                <w:rFonts w:ascii="Times New Roman" w:hAnsi="Times New Roman"/>
                <w:b/>
                <w:color w:val="000000"/>
                <w:sz w:val="24"/>
              </w:rPr>
              <w:t>CỘNG HÒA XÃ HỘI CHỦ NGHĨA VIỆT NAM</w:t>
            </w:r>
          </w:p>
          <w:p>
            <w:pPr>
              <w:spacing w:before="0" w:after="40" w:line="276" w:lineRule="auto"/>
              <w:ind w:firstLine="0"/>
              <w:jc w:val="center"/>
            </w:pPr>
            <w:r>
              <w:rPr>
                <w:rFonts w:ascii="Times New Roman" w:hAnsi="Times New Roman"/>
                <w:b/>
                <w:color w:val="000000"/>
                <w:sz w:val="26"/>
                <w:u w:val="single"/>
              </w:rPr>
              <w:t>Độc lập - Tự do - Hạnh phúc</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i/>
                <w:color w:val="000000"/>
                <w:sz w:val="26"/>
              </w:rPr>
              <w:t>Hà Nội, ngày 02 tháng 08 năm 2026</w:t>
            </w:r>
          </w:p>
        </w:tc>
      </w:tr>
    </w:tbl>
    <w:p>
      <w:pPr>
        <w:spacing w:before="120" w:after="120"/>
      </w:pPr>
    </w:p>
    <w:p>
      <w:pPr>
        <w:spacing w:before="240" w:after="240" w:line="300" w:lineRule="auto"/>
        <w:ind w:firstLine="0"/>
        <w:jc w:val="center"/>
      </w:pPr>
      <w:r>
        <w:rPr>
          <w:rFonts w:ascii="Times New Roman" w:hAnsi="Times New Roman"/>
          <w:b/>
          <w:color w:val="000000"/>
          <w:sz w:val="30"/>
        </w:rPr>
        <w:t>DỊCH VỤ THƯ VIỆN</w:t>
      </w:r>
    </w:p>
    <w:p>
      <w:pPr>
        <w:spacing w:before="0" w:after="80" w:line="300" w:lineRule="auto"/>
        <w:ind w:firstLine="720"/>
        <w:jc w:val="both"/>
      </w:pPr>
      <w:r>
        <w:rPr>
          <w:rFonts w:ascii="Times New Roman" w:hAnsi="Times New Roman"/>
          <w:b w:val="0"/>
          <w:i w:val="0"/>
          <w:color w:val="000000"/>
          <w:sz w:val="26"/>
        </w:rPr>
        <w:t>Thư viện cung cấp mượn tài liệu và không gian học tập cho sinh viên, giảng viên và nhân viên. Người dùng cần mang thẻ định danh hợp lệ khi sử dụng dịch vụ mượn.</w:t>
      </w:r>
    </w:p>
    <w:p>
      <w:pPr>
        <w:spacing w:before="0" w:after="80" w:line="300" w:lineRule="auto"/>
        <w:ind w:firstLine="720"/>
        <w:jc w:val="both"/>
      </w:pPr>
      <w:r>
        <w:rPr>
          <w:rFonts w:ascii="Times New Roman" w:hAnsi="Times New Roman"/>
          <w:b w:val="0"/>
          <w:i w:val="0"/>
          <w:color w:val="000000"/>
          <w:sz w:val="26"/>
        </w:rPr>
        <w:t>Nhóm cần bổ sung quy định thời hạn mượn, gia hạn và xử lý quá hạn từ nguồn chính thức trước khi dùng làm benchmark.</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80"/>
      <w:ind w:firstLine="72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