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252"/>
        <w:gridCol w:w="5102"/>
      </w:tblGrid>
      <w:tr>
        <w:tc>
          <w:tcPr>
            <w:tcW w:type="dxa" w:w="4677"/>
          </w:tcPr>
          <w:p>
            <w:pPr>
              <w:spacing w:before="0" w:after="0" w:line="276" w:lineRule="auto"/>
              <w:ind w:firstLine="0"/>
              <w:jc w:val="center"/>
            </w:pPr>
            <w:r>
              <w:rPr>
                <w:rFonts w:ascii="Times New Roman" w:hAnsi="Times New Roman"/>
                <w:color w:val="000000"/>
                <w:sz w:val="24"/>
              </w:rPr>
              <w:t>BỘ GIÁO DỤC VÀ ĐÀO TẠO</w:t>
            </w:r>
          </w:p>
          <w:p>
            <w:pPr>
              <w:spacing w:before="0" w:after="40" w:line="276" w:lineRule="auto"/>
              <w:ind w:firstLine="0"/>
              <w:jc w:val="center"/>
            </w:pPr>
            <w:r>
              <w:rPr>
                <w:rFonts w:ascii="Times New Roman" w:hAnsi="Times New Roman"/>
                <w:b/>
                <w:color w:val="000000"/>
                <w:sz w:val="24"/>
              </w:rPr>
              <w:t>ĐẠI HỌC BÁCH KHOA HÀ NỘI</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color w:val="000000"/>
                <w:sz w:val="24"/>
              </w:rPr>
              <w:t>Số: .../QĐ-ĐHBK</w:t>
            </w:r>
          </w:p>
        </w:tc>
        <w:tc>
          <w:tcPr>
            <w:tcW w:type="dxa" w:w="4677"/>
          </w:tcPr>
          <w:p>
            <w:pPr>
              <w:spacing w:before="0" w:after="0" w:line="276" w:lineRule="auto"/>
              <w:ind w:firstLine="0"/>
              <w:jc w:val="center"/>
            </w:pPr>
            <w:r>
              <w:rPr>
                <w:rFonts w:ascii="Times New Roman" w:hAnsi="Times New Roman"/>
                <w:b/>
                <w:color w:val="000000"/>
                <w:sz w:val="24"/>
              </w:rPr>
              <w:t>CỘNG HÒA XÃ HỘI CHỦ NGHĨA VIỆT NAM</w:t>
            </w:r>
          </w:p>
          <w:p>
            <w:pPr>
              <w:spacing w:before="0" w:after="40" w:line="276" w:lineRule="auto"/>
              <w:ind w:firstLine="0"/>
              <w:jc w:val="center"/>
            </w:pPr>
            <w:r>
              <w:rPr>
                <w:rFonts w:ascii="Times New Roman" w:hAnsi="Times New Roman"/>
                <w:b/>
                <w:color w:val="000000"/>
                <w:sz w:val="26"/>
                <w:u w:val="single"/>
              </w:rPr>
              <w:t>Độc lập - Tự do - Hạnh phúc</w:t>
            </w:r>
          </w:p>
          <w:p>
            <w:pPr>
              <w:spacing w:before="0" w:after="80" w:line="240" w:lineRule="auto"/>
              <w:ind w:firstLine="0"/>
              <w:jc w:val="center"/>
            </w:pPr>
            <w:r>
              <w:rPr>
                <w:rFonts w:ascii="Times New Roman" w:hAnsi="Times New Roman"/>
                <w:b/>
                <w:color w:val="000000"/>
                <w:sz w:val="16"/>
              </w:rPr>
              <w:t>━━━━━━━━━━━━━━━</w:t>
            </w:r>
          </w:p>
          <w:p>
            <w:pPr>
              <w:spacing w:before="0" w:after="0"/>
              <w:ind w:firstLine="0"/>
              <w:jc w:val="center"/>
            </w:pPr>
            <w:r>
              <w:rPr>
                <w:rFonts w:ascii="Times New Roman" w:hAnsi="Times New Roman"/>
                <w:i/>
                <w:color w:val="000000"/>
                <w:sz w:val="26"/>
              </w:rPr>
              <w:t>Hà Nội, ngày 03 tháng 08 năm 2026</w:t>
            </w:r>
          </w:p>
        </w:tc>
      </w:tr>
    </w:tbl>
    <w:p>
      <w:pPr>
        <w:spacing w:before="120" w:after="120"/>
      </w:pPr>
    </w:p>
    <w:p>
      <w:pPr>
        <w:spacing w:before="240" w:after="240" w:line="300" w:lineRule="auto"/>
        <w:ind w:firstLine="0"/>
        <w:jc w:val="center"/>
      </w:pPr>
      <w:r>
        <w:rPr>
          <w:rFonts w:ascii="Times New Roman" w:hAnsi="Times New Roman"/>
          <w:b/>
          <w:color w:val="000000"/>
          <w:sz w:val="30"/>
        </w:rPr>
        <w:t>NỘI QUY CƯ TRÚ VÀ QUẢN LÝ AN NINH TRẬT TỰ KÝ TÚC XÁ ĐẠI HỌC BÁCH KHOA HÀ NỘI</w:t>
      </w:r>
    </w:p>
    <w:p>
      <w:pPr>
        <w:spacing w:before="180" w:after="80"/>
        <w:ind w:firstLine="0"/>
        <w:jc w:val="left"/>
      </w:pPr>
      <w:r>
        <w:rPr>
          <w:rFonts w:ascii="Times New Roman" w:hAnsi="Times New Roman"/>
          <w:b/>
          <w:i w:val="0"/>
          <w:color w:val="000000"/>
          <w:sz w:val="26"/>
        </w:rPr>
        <w:t>1. Đối tượng và Điền kiện Đăng ký Cư trú</w:t>
      </w:r>
    </w:p>
    <w:p>
      <w:pPr>
        <w:spacing w:before="0" w:after="60" w:line="300" w:lineRule="auto"/>
        <w:ind w:left="283" w:hanging="227"/>
        <w:jc w:val="both"/>
      </w:pPr>
      <w:r>
        <w:rPr>
          <w:rFonts w:ascii="Times New Roman" w:hAnsi="Times New Roman"/>
          <w:b w:val="0"/>
          <w:i w:val="0"/>
          <w:color w:val="000000"/>
          <w:sz w:val="26"/>
        </w:rPr>
        <w:t>• Ký túc xá Đại học Bách khoa Hà Nội phục vụ chỗ ở cho sinh viên đại học hệ chính quy đang theo học tại trường.</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Thứ tự ưu tiên xếp phòng:</w:t>
      </w:r>
    </w:p>
    <w:p>
      <w:pPr>
        <w:spacing w:before="0" w:after="60" w:line="300" w:lineRule="auto"/>
        <w:ind w:left="567" w:hanging="227"/>
        <w:jc w:val="both"/>
      </w:pPr>
      <w:r>
        <w:rPr>
          <w:rFonts w:ascii="Times New Roman" w:hAnsi="Times New Roman"/>
          <w:b w:val="0"/>
          <w:i w:val="0"/>
          <w:color w:val="000000"/>
          <w:sz w:val="26"/>
        </w:rPr>
        <w:t>1. Sinh viên diện chính sách (con thương binh, bệnh binh, anh hùng lực lượng vũ trang).</w:t>
      </w:r>
    </w:p>
    <w:p>
      <w:pPr>
        <w:spacing w:before="0" w:after="60" w:line="300" w:lineRule="auto"/>
        <w:ind w:left="567" w:hanging="227"/>
        <w:jc w:val="both"/>
      </w:pPr>
      <w:r>
        <w:rPr>
          <w:rFonts w:ascii="Times New Roman" w:hAnsi="Times New Roman"/>
          <w:b w:val="0"/>
          <w:i w:val="0"/>
          <w:color w:val="000000"/>
          <w:sz w:val="26"/>
        </w:rPr>
        <w:t>2. Sinh viên mồ côi, sinh viên thuộc hộ nghèo, hộ cận nghèo.</w:t>
      </w:r>
    </w:p>
    <w:p>
      <w:pPr>
        <w:spacing w:before="0" w:after="60" w:line="300" w:lineRule="auto"/>
        <w:ind w:left="567" w:hanging="227"/>
        <w:jc w:val="both"/>
      </w:pPr>
      <w:r>
        <w:rPr>
          <w:rFonts w:ascii="Times New Roman" w:hAnsi="Times New Roman"/>
          <w:b w:val="0"/>
          <w:i w:val="0"/>
          <w:color w:val="000000"/>
          <w:sz w:val="26"/>
        </w:rPr>
        <w:t>3. Sinh viên vùng sâu, vùng xa, vùng có điều kiện kinh tế đặc biệt khó khăn.</w:t>
      </w:r>
    </w:p>
    <w:p>
      <w:pPr>
        <w:spacing w:before="0" w:after="60" w:line="300" w:lineRule="auto"/>
        <w:ind w:left="567" w:hanging="227"/>
        <w:jc w:val="both"/>
      </w:pPr>
      <w:r>
        <w:rPr>
          <w:rFonts w:ascii="Times New Roman" w:hAnsi="Times New Roman"/>
          <w:b w:val="0"/>
          <w:i w:val="0"/>
          <w:color w:val="000000"/>
          <w:sz w:val="26"/>
        </w:rPr>
        <w:t>4. Sinh viên năm thứ nhất (tân sinh viên) đăng ký sớm.</w:t>
      </w:r>
    </w:p>
    <w:p>
      <w:pPr>
        <w:spacing w:before="0" w:after="60" w:line="300" w:lineRule="auto"/>
        <w:ind w:left="283" w:hanging="227"/>
        <w:jc w:val="both"/>
      </w:pPr>
      <w:r>
        <w:rPr>
          <w:rFonts w:ascii="Times New Roman" w:hAnsi="Times New Roman"/>
          <w:b w:val="0"/>
          <w:i w:val="0"/>
          <w:color w:val="000000"/>
          <w:sz w:val="26"/>
        </w:rPr>
        <w:t xml:space="preserve">• Sinh viên thực hiện đăng ký ở KTX trực tuyến trên website </w:t>
      </w:r>
      <w:r>
        <w:rPr>
          <w:rFonts w:ascii="Times New Roman" w:hAnsi="Times New Roman"/>
          <w:b w:val="0"/>
          <w:i w:val="0"/>
          <w:color w:val="000000"/>
          <w:sz w:val="26"/>
        </w:rPr>
        <w:t>http://ktx.hust.edu.vn</w:t>
      </w:r>
      <w:r>
        <w:rPr>
          <w:rFonts w:ascii="Times New Roman" w:hAnsi="Times New Roman"/>
          <w:b w:val="0"/>
          <w:i w:val="0"/>
          <w:color w:val="000000"/>
          <w:sz w:val="26"/>
        </w:rPr>
        <w:t xml:space="preserve"> sử dụng tài khoản email HUST.</w:t>
      </w:r>
    </w:p>
    <w:p>
      <w:pPr>
        <w:spacing w:before="180" w:after="80"/>
        <w:ind w:firstLine="0"/>
        <w:jc w:val="left"/>
      </w:pPr>
      <w:r>
        <w:rPr>
          <w:rFonts w:ascii="Times New Roman" w:hAnsi="Times New Roman"/>
          <w:b/>
          <w:i w:val="0"/>
          <w:color w:val="000000"/>
          <w:sz w:val="26"/>
        </w:rPr>
        <w:t>2. Quy định Giờ giấc và Ra vào Ký túc xá</w:t>
      </w:r>
    </w:p>
    <w:p>
      <w:pPr>
        <w:spacing w:before="0" w:after="60" w:line="300" w:lineRule="auto"/>
        <w:ind w:left="283" w:hanging="227"/>
        <w:jc w:val="both"/>
      </w:pPr>
      <w:r>
        <w:rPr>
          <w:rFonts w:ascii="Times New Roman" w:hAnsi="Times New Roman"/>
          <w:b w:val="0"/>
          <w:i w:val="0"/>
          <w:color w:val="000000"/>
          <w:sz w:val="26"/>
        </w:rPr>
        <w:t xml:space="preserve">• Cổng các nhà Ký túc xá (B6, B9, B10, B13...) mở cửa từ </w:t>
      </w:r>
      <w:r>
        <w:rPr>
          <w:rFonts w:ascii="Times New Roman" w:hAnsi="Times New Roman"/>
          <w:b/>
          <w:i w:val="0"/>
          <w:color w:val="000000"/>
          <w:sz w:val="26"/>
        </w:rPr>
        <w:t>05:00 sáng</w:t>
      </w:r>
      <w:r>
        <w:rPr>
          <w:rFonts w:ascii="Times New Roman" w:hAnsi="Times New Roman"/>
          <w:b w:val="0"/>
          <w:i w:val="0"/>
          <w:color w:val="000000"/>
          <w:sz w:val="26"/>
        </w:rPr>
        <w:t xml:space="preserve"> và đóng cửa vào lúc </w:t>
      </w:r>
      <w:r>
        <w:rPr>
          <w:rFonts w:ascii="Times New Roman" w:hAnsi="Times New Roman"/>
          <w:b/>
          <w:i w:val="0"/>
          <w:color w:val="000000"/>
          <w:sz w:val="26"/>
        </w:rPr>
        <w:t>23:00 hàng ngày</w:t>
      </w:r>
      <w:r>
        <w:rPr>
          <w:rFonts w:ascii="Times New Roman" w:hAnsi="Times New Roman"/>
          <w:b w:val="0"/>
          <w:i w:val="0"/>
          <w:color w:val="000000"/>
          <w:sz w:val="26"/>
        </w:rPr>
        <w:t>.</w:t>
      </w:r>
    </w:p>
    <w:p>
      <w:pPr>
        <w:spacing w:before="0" w:after="60" w:line="300" w:lineRule="auto"/>
        <w:ind w:left="283" w:hanging="227"/>
        <w:jc w:val="both"/>
      </w:pPr>
      <w:r>
        <w:rPr>
          <w:rFonts w:ascii="Times New Roman" w:hAnsi="Times New Roman"/>
          <w:b w:val="0"/>
          <w:i w:val="0"/>
          <w:color w:val="000000"/>
          <w:sz w:val="26"/>
        </w:rPr>
        <w:t>• Sinh viên ra vào KTX phải xuất trình Thẻ sinh viên hoặc quét mã QR trên ứng dụng iCTSV tại quầy bảo vệ cổng.</w:t>
      </w:r>
    </w:p>
    <w:p>
      <w:pPr>
        <w:spacing w:before="0" w:after="60" w:line="300" w:lineRule="auto"/>
        <w:ind w:left="283" w:hanging="227"/>
        <w:jc w:val="both"/>
      </w:pPr>
      <w:r>
        <w:rPr>
          <w:rFonts w:ascii="Times New Roman" w:hAnsi="Times New Roman"/>
          <w:b w:val="0"/>
          <w:i w:val="0"/>
          <w:color w:val="000000"/>
          <w:sz w:val="26"/>
        </w:rPr>
        <w:t>• Sinh viên có lý do chính đáng về muộn sau 23:00 (do học tập, thực tập hoặc công tác) phải khai báo lý do và xuất trình giấy tờ với cán bộ trực an ninh nhà KTX.</w:t>
      </w:r>
    </w:p>
    <w:p>
      <w:pPr>
        <w:spacing w:before="180" w:after="80"/>
        <w:ind w:firstLine="0"/>
        <w:jc w:val="left"/>
      </w:pPr>
      <w:r>
        <w:rPr>
          <w:rFonts w:ascii="Times New Roman" w:hAnsi="Times New Roman"/>
          <w:b/>
          <w:i w:val="0"/>
          <w:color w:val="000000"/>
          <w:sz w:val="26"/>
        </w:rPr>
        <w:t>3. An toàn Phòng cháy Chữa cháy (PCCC) và Sử dụng Điện</w:t>
      </w:r>
    </w:p>
    <w:p>
      <w:pPr>
        <w:spacing w:before="0" w:after="60" w:line="300" w:lineRule="auto"/>
        <w:ind w:left="283" w:hanging="227"/>
        <w:jc w:val="both"/>
      </w:pPr>
      <w:r>
        <w:rPr>
          <w:rFonts w:ascii="Times New Roman" w:hAnsi="Times New Roman"/>
          <w:b w:val="0"/>
          <w:i w:val="0"/>
          <w:color w:val="000000"/>
          <w:sz w:val="26"/>
        </w:rPr>
        <w:t>• Nghiêm cấm tuyệt đối việc nấu ăn trong phòng ở bằng bếp gas, bếp than, bếp cồn, bếp từ hoặc bếp điện công suất lớn.</w:t>
      </w:r>
    </w:p>
    <w:p>
      <w:pPr>
        <w:spacing w:before="0" w:after="60" w:line="300" w:lineRule="auto"/>
        <w:ind w:left="283" w:hanging="227"/>
        <w:jc w:val="both"/>
      </w:pPr>
      <w:r>
        <w:rPr>
          <w:rFonts w:ascii="Times New Roman" w:hAnsi="Times New Roman"/>
          <w:b w:val="0"/>
          <w:i w:val="0"/>
          <w:color w:val="000000"/>
          <w:sz w:val="26"/>
        </w:rPr>
        <w:t>• Nghiêm cấm tự ý đấu nối, can thiệp vào đường dây điện của phòng ở. Chỉ sử dụng các thiết bị điện sinh hoạt được Ban Quản lý KTX cho phép (máy tính, quạt điện, sạc điện thoại, đèn học).</w:t>
      </w:r>
    </w:p>
    <w:p>
      <w:pPr>
        <w:spacing w:before="0" w:after="60" w:line="300" w:lineRule="auto"/>
        <w:ind w:left="283" w:hanging="227"/>
        <w:jc w:val="both"/>
      </w:pPr>
      <w:r>
        <w:rPr>
          <w:rFonts w:ascii="Times New Roman" w:hAnsi="Times New Roman"/>
          <w:b w:val="0"/>
          <w:i w:val="0"/>
          <w:color w:val="000000"/>
          <w:sz w:val="26"/>
        </w:rPr>
        <w:t>• Tắt toàn bộ thiết bị điện không cần thiết khi ra khỏi phòng.</w:t>
      </w:r>
    </w:p>
    <w:p>
      <w:pPr>
        <w:spacing w:before="0" w:after="60" w:line="300" w:lineRule="auto"/>
        <w:ind w:left="283" w:hanging="227"/>
        <w:jc w:val="both"/>
      </w:pPr>
      <w:r>
        <w:rPr>
          <w:rFonts w:ascii="Times New Roman" w:hAnsi="Times New Roman"/>
          <w:b w:val="0"/>
          <w:i w:val="0"/>
          <w:color w:val="000000"/>
          <w:sz w:val="26"/>
        </w:rPr>
        <w:t>• Nghiêm cấm tàng trữ, sử dụng pháo, chất dễ cháy, chất nổ, vũ khí, hóa chất độc hại trong khu vực KTX.</w:t>
      </w:r>
    </w:p>
    <w:p>
      <w:pPr>
        <w:spacing w:before="180" w:after="80"/>
        <w:ind w:firstLine="0"/>
        <w:jc w:val="left"/>
      </w:pPr>
      <w:r>
        <w:rPr>
          <w:rFonts w:ascii="Times New Roman" w:hAnsi="Times New Roman"/>
          <w:b/>
          <w:i w:val="0"/>
          <w:color w:val="000000"/>
          <w:sz w:val="26"/>
        </w:rPr>
        <w:t>4. An ninh Trật tự và Vệ sinh Phòng ở</w:t>
      </w:r>
    </w:p>
    <w:p>
      <w:pPr>
        <w:spacing w:before="0" w:after="60" w:line="300" w:lineRule="auto"/>
        <w:ind w:left="283" w:hanging="227"/>
        <w:jc w:val="both"/>
      </w:pPr>
      <w:r>
        <w:rPr>
          <w:rFonts w:ascii="Times New Roman" w:hAnsi="Times New Roman"/>
          <w:b w:val="0"/>
          <w:i w:val="0"/>
          <w:color w:val="000000"/>
          <w:sz w:val="26"/>
        </w:rPr>
        <w:t>• Nghiêm cấm các hành vi cờ bạc, tàng trữ và sử dụng ma túy, uống rượu bia, gây rối trật tự công cộng, đánh nhau trong KTX.</w:t>
      </w:r>
    </w:p>
    <w:p>
      <w:pPr>
        <w:spacing w:before="0" w:after="60" w:line="300" w:lineRule="auto"/>
        <w:ind w:left="283" w:hanging="227"/>
        <w:jc w:val="both"/>
      </w:pPr>
      <w:r>
        <w:rPr>
          <w:rFonts w:ascii="Times New Roman" w:hAnsi="Times New Roman"/>
          <w:b w:val="0"/>
          <w:i w:val="0"/>
          <w:color w:val="000000"/>
          <w:sz w:val="26"/>
        </w:rPr>
        <w:t>• Không được tiếp khách lạ hoặc người khác giới trong phòng ở sinh viên. Khách đến thăm phải đăng ký tại phòng bảo vệ Tầng 1 và chỉ tiếp khách tại khu vực nhà khách/phòng tiếp khách chung.</w:t>
      </w:r>
    </w:p>
    <w:p>
      <w:pPr>
        <w:spacing w:before="0" w:after="60" w:line="300" w:lineRule="auto"/>
        <w:ind w:left="283" w:hanging="227"/>
        <w:jc w:val="both"/>
      </w:pPr>
      <w:r>
        <w:rPr>
          <w:rFonts w:ascii="Times New Roman" w:hAnsi="Times New Roman"/>
          <w:b w:val="0"/>
          <w:i w:val="0"/>
          <w:color w:val="000000"/>
          <w:sz w:val="26"/>
        </w:rPr>
        <w:t>• Nghiêm cấm việc cho người ngoài hoặc sinh viên khác không có tên trong hợp đồng ở qua đêm trong phòng KTX.</w:t>
      </w:r>
    </w:p>
    <w:p>
      <w:pPr>
        <w:spacing w:before="0" w:after="60" w:line="300" w:lineRule="auto"/>
        <w:ind w:left="283" w:hanging="227"/>
        <w:jc w:val="both"/>
      </w:pPr>
      <w:r>
        <w:rPr>
          <w:rFonts w:ascii="Times New Roman" w:hAnsi="Times New Roman"/>
          <w:b w:val="0"/>
          <w:i w:val="0"/>
          <w:color w:val="000000"/>
          <w:sz w:val="26"/>
        </w:rPr>
        <w:t>• Giữ gìn vệ sinh chung trong phòng ở, hành lang, khu vực vệ sinh công cộng. Đổ rác đúng nơi quy định và đúng giờ phân loại rác.</w:t>
      </w:r>
    </w:p>
    <w:p>
      <w:pPr>
        <w:spacing w:before="180" w:after="80"/>
        <w:ind w:firstLine="0"/>
        <w:jc w:val="left"/>
      </w:pPr>
      <w:r>
        <w:rPr>
          <w:rFonts w:ascii="Times New Roman" w:hAnsi="Times New Roman"/>
          <w:b/>
          <w:i w:val="0"/>
          <w:color w:val="000000"/>
          <w:sz w:val="26"/>
        </w:rPr>
        <w:t>5. Xử lý Vi phạm Nội quy</w:t>
      </w:r>
    </w:p>
    <w:p>
      <w:pPr>
        <w:spacing w:before="0" w:after="80" w:line="300" w:lineRule="auto"/>
        <w:ind w:firstLine="720"/>
        <w:jc w:val="both"/>
      </w:pPr>
      <w:r>
        <w:rPr>
          <w:rFonts w:ascii="Times New Roman" w:hAnsi="Times New Roman"/>
          <w:b w:val="0"/>
          <w:i w:val="0"/>
          <w:color w:val="000000"/>
          <w:sz w:val="26"/>
        </w:rPr>
        <w:t>Sinh viên vi phạm nội quy KTX tùy thuộc mức độ sẽ bị xử lý theo các hình thức:</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Vi phạm lần 1 (nhẹ):</w:t>
      </w:r>
      <w:r>
        <w:rPr>
          <w:rFonts w:ascii="Times New Roman" w:hAnsi="Times New Roman"/>
          <w:b w:val="0"/>
          <w:i w:val="0"/>
          <w:color w:val="000000"/>
          <w:sz w:val="26"/>
        </w:rPr>
        <w:t xml:space="preserve"> Phê bình, nhắc nhở và viết bản kiểm điểm.</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Vi phạm lần 2 hoặc vi phạm nghiêm trọng (nấu ăn, sử dụng chất cấm, cho người ngoài ở chui):</w:t>
      </w:r>
      <w:r>
        <w:rPr>
          <w:rFonts w:ascii="Times New Roman" w:hAnsi="Times New Roman"/>
          <w:b w:val="0"/>
          <w:i w:val="0"/>
          <w:color w:val="000000"/>
          <w:sz w:val="26"/>
        </w:rPr>
        <w:t xml:space="preserve"> Cảnh cáo, chấm dứt hợp đồng ở KTX ngay lập tức, không hoàn trả tiền lệ phí phòng ở còn lại.</w:t>
      </w:r>
    </w:p>
    <w:p>
      <w:pPr>
        <w:spacing w:before="0" w:after="60" w:line="300" w:lineRule="auto"/>
        <w:ind w:left="283" w:hanging="227"/>
        <w:jc w:val="both"/>
      </w:pPr>
      <w:r>
        <w:rPr>
          <w:rFonts w:ascii="Times New Roman" w:hAnsi="Times New Roman"/>
          <w:b w:val="0"/>
          <w:i w:val="0"/>
          <w:color w:val="000000"/>
          <w:sz w:val="26"/>
        </w:rPr>
        <w:t xml:space="preserve">• </w:t>
      </w:r>
      <w:r>
        <w:rPr>
          <w:rFonts w:ascii="Times New Roman" w:hAnsi="Times New Roman"/>
          <w:b/>
          <w:i w:val="0"/>
          <w:color w:val="000000"/>
          <w:sz w:val="26"/>
        </w:rPr>
        <w:t>Báo cáo học vụ:</w:t>
      </w:r>
      <w:r>
        <w:rPr>
          <w:rFonts w:ascii="Times New Roman" w:hAnsi="Times New Roman"/>
          <w:b w:val="0"/>
          <w:i w:val="0"/>
          <w:color w:val="000000"/>
          <w:sz w:val="26"/>
        </w:rPr>
        <w:t xml:space="preserve"> Các hình thức kỷ luật từ Cảnh cáo trở lên đều được Ban Quản lý KTX chuyển hồ sơ về Ban Công tác Sinh viên để trừ điểm rèn luyện (DRL) và hạ bậc xếp loại kỷ luật học vụ toàn trường.</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80"/>
      <w:ind w:firstLine="72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