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252"/>
        <w:gridCol w:w="5102"/>
      </w:tblGrid>
      <w:tr>
        <w:tc>
          <w:tcPr>
            <w:tcW w:type="dxa" w:w="4677"/>
          </w:tcPr>
          <w:p>
            <w:pPr>
              <w:spacing w:before="0" w:after="0" w:line="276" w:lineRule="auto"/>
              <w:ind w:firstLine="0"/>
              <w:jc w:val="center"/>
            </w:pPr>
            <w:r>
              <w:rPr>
                <w:rFonts w:ascii="Times New Roman" w:hAnsi="Times New Roman"/>
                <w:color w:val="000000"/>
                <w:sz w:val="24"/>
              </w:rPr>
              <w:t>BỘ GIÁO DỤC VÀ ĐÀO TẠO</w:t>
            </w:r>
          </w:p>
          <w:p>
            <w:pPr>
              <w:spacing w:before="0" w:after="40" w:line="276" w:lineRule="auto"/>
              <w:ind w:firstLine="0"/>
              <w:jc w:val="center"/>
            </w:pPr>
            <w:r>
              <w:rPr>
                <w:rFonts w:ascii="Times New Roman" w:hAnsi="Times New Roman"/>
                <w:b/>
                <w:color w:val="000000"/>
                <w:sz w:val="24"/>
              </w:rPr>
              <w:t>ĐẠI HỌC BÁCH KHOA HÀ NỘI</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color w:val="000000"/>
                <w:sz w:val="24"/>
              </w:rPr>
              <w:t>Số: .../QĐ-ĐHBK</w:t>
            </w:r>
          </w:p>
        </w:tc>
        <w:tc>
          <w:tcPr>
            <w:tcW w:type="dxa" w:w="4677"/>
          </w:tcPr>
          <w:p>
            <w:pPr>
              <w:spacing w:before="0" w:after="0" w:line="276" w:lineRule="auto"/>
              <w:ind w:firstLine="0"/>
              <w:jc w:val="center"/>
            </w:pPr>
            <w:r>
              <w:rPr>
                <w:rFonts w:ascii="Times New Roman" w:hAnsi="Times New Roman"/>
                <w:b/>
                <w:color w:val="000000"/>
                <w:sz w:val="24"/>
              </w:rPr>
              <w:t>CỘNG HÒA XÃ HỘI CHỦ NGHĨA VIỆT NAM</w:t>
            </w:r>
          </w:p>
          <w:p>
            <w:pPr>
              <w:spacing w:before="0" w:after="40" w:line="276" w:lineRule="auto"/>
              <w:ind w:firstLine="0"/>
              <w:jc w:val="center"/>
            </w:pPr>
            <w:r>
              <w:rPr>
                <w:rFonts w:ascii="Times New Roman" w:hAnsi="Times New Roman"/>
                <w:b/>
                <w:color w:val="000000"/>
                <w:sz w:val="26"/>
                <w:u w:val="single"/>
              </w:rPr>
              <w:t>Độc lập - Tự do - Hạnh phúc</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i/>
                <w:color w:val="000000"/>
                <w:sz w:val="26"/>
              </w:rPr>
              <w:t>Hà Nội, ngày 03 tháng 08 năm 2026</w:t>
            </w:r>
          </w:p>
        </w:tc>
      </w:tr>
    </w:tbl>
    <w:p>
      <w:pPr>
        <w:spacing w:before="120" w:after="120"/>
      </w:pPr>
    </w:p>
    <w:p>
      <w:pPr>
        <w:spacing w:before="240" w:after="240" w:line="300" w:lineRule="auto"/>
        <w:ind w:firstLine="0"/>
        <w:jc w:val="center"/>
      </w:pPr>
      <w:r>
        <w:rPr>
          <w:rFonts w:ascii="Times New Roman" w:hAnsi="Times New Roman"/>
          <w:b/>
          <w:color w:val="000000"/>
          <w:sz w:val="30"/>
        </w:rPr>
        <w:t>QUY ĐỊNH ĐỊNH MỨC, THỜI HẠN VÀ PHƯƠNG THỨC THANH TOÁN HỌC PHÍ ĐẠI HỌC BÁCH KHOA HÀ NỘI</w:t>
      </w:r>
    </w:p>
    <w:p>
      <w:pPr>
        <w:spacing w:before="180" w:after="80"/>
        <w:ind w:firstLine="0"/>
        <w:jc w:val="left"/>
      </w:pPr>
      <w:r>
        <w:rPr>
          <w:rFonts w:ascii="Times New Roman" w:hAnsi="Times New Roman"/>
          <w:b/>
          <w:i w:val="0"/>
          <w:color w:val="000000"/>
          <w:sz w:val="26"/>
        </w:rPr>
        <w:t>1. Nguyên tắc Tính Học phí</w:t>
      </w:r>
    </w:p>
    <w:p>
      <w:pPr>
        <w:spacing w:before="0" w:after="60" w:line="300" w:lineRule="auto"/>
        <w:ind w:left="283" w:hanging="227"/>
        <w:jc w:val="both"/>
      </w:pPr>
      <w:r>
        <w:rPr>
          <w:rFonts w:ascii="Times New Roman" w:hAnsi="Times New Roman"/>
          <w:b w:val="0"/>
          <w:i w:val="0"/>
          <w:color w:val="000000"/>
          <w:sz w:val="26"/>
        </w:rPr>
        <w:t>• Học phí tại Đại học Bách khoa Hà Nội được tính dựa trên số lượng tín chỉ mà sinh viên đăng ký trong từng học kỳ.</w:t>
      </w:r>
    </w:p>
    <w:p>
      <w:pPr>
        <w:spacing w:before="0" w:after="60" w:line="300" w:lineRule="auto"/>
        <w:ind w:left="283" w:hanging="227"/>
        <w:jc w:val="both"/>
      </w:pPr>
      <w:r>
        <w:rPr>
          <w:rFonts w:ascii="Times New Roman" w:hAnsi="Times New Roman"/>
          <w:b w:val="0"/>
          <w:i w:val="0"/>
          <w:color w:val="000000"/>
          <w:sz w:val="26"/>
        </w:rPr>
        <w:t>• Tổng học phí học kỳ = ∑ (Số tín chỉ của học phần × Đơn giá tín chỉ của học phần đó).</w:t>
      </w:r>
    </w:p>
    <w:p>
      <w:pPr>
        <w:spacing w:before="0" w:after="60" w:line="300" w:lineRule="auto"/>
        <w:ind w:left="283" w:hanging="227"/>
        <w:jc w:val="both"/>
      </w:pPr>
      <w:r>
        <w:rPr>
          <w:rFonts w:ascii="Times New Roman" w:hAnsi="Times New Roman"/>
          <w:b w:val="0"/>
          <w:i w:val="0"/>
          <w:color w:val="000000"/>
          <w:sz w:val="26"/>
        </w:rPr>
        <w:t>• Đơn giá tín chỉ được quy định rõ theo từng chương trình đào tạo và loại hình học phần (học phần trong chương trình, học phần học lại, học phần học cải thiện, học phần tự chọn tự do).</w:t>
      </w:r>
    </w:p>
    <w:p>
      <w:pPr>
        <w:spacing w:before="180" w:after="80"/>
        <w:ind w:firstLine="0"/>
        <w:jc w:val="left"/>
      </w:pPr>
      <w:r>
        <w:rPr>
          <w:rFonts w:ascii="Times New Roman" w:hAnsi="Times New Roman"/>
          <w:b/>
          <w:i w:val="0"/>
          <w:color w:val="000000"/>
          <w:sz w:val="26"/>
        </w:rPr>
        <w:t>2. Định mức Học phí theo Chương trình Đào tạo</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Chương trình Đào tạo Chuẩn (Đại trà):</w:t>
      </w:r>
    </w:p>
    <w:p>
      <w:pPr>
        <w:spacing w:before="0" w:after="60" w:line="300" w:lineRule="auto"/>
        <w:ind w:left="567" w:hanging="227"/>
        <w:jc w:val="both"/>
      </w:pPr>
      <w:r>
        <w:rPr>
          <w:rFonts w:ascii="Times New Roman" w:hAnsi="Times New Roman"/>
          <w:b w:val="0"/>
          <w:i w:val="0"/>
          <w:color w:val="000000"/>
          <w:sz w:val="26"/>
        </w:rPr>
        <w:t>• Mức học phí dao động từ 500.000 VNĐ đến 750.000 VNĐ / tín chỉ tùy thuộc theo nhóm ngành (Kỹ thuật - Công nghệ, Kinh tế - Quản lý, Ngoại ngữ).</w:t>
      </w:r>
    </w:p>
    <w:p>
      <w:pPr>
        <w:spacing w:before="0" w:after="60" w:line="300" w:lineRule="auto"/>
        <w:ind w:left="567" w:hanging="227"/>
        <w:jc w:val="both"/>
      </w:pPr>
      <w:r>
        <w:rPr>
          <w:rFonts w:ascii="Times New Roman" w:hAnsi="Times New Roman"/>
          <w:b w:val="0"/>
          <w:i w:val="0"/>
          <w:color w:val="000000"/>
          <w:sz w:val="26"/>
        </w:rPr>
        <w:t>• Học phí trung bình một năm học (30 - 36 tín chỉ) khoảng 22.000.000 VNĐ đến 28.000.000 VNĐ / năm.</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Chương trình Đào tạo Chất lượng cao (ELITECH / Tiên tiến / Việt-Pháp / Việt-Nhật):</w:t>
      </w:r>
    </w:p>
    <w:p>
      <w:pPr>
        <w:spacing w:before="0" w:after="60" w:line="300" w:lineRule="auto"/>
        <w:ind w:left="567" w:hanging="227"/>
        <w:jc w:val="both"/>
      </w:pPr>
      <w:r>
        <w:rPr>
          <w:rFonts w:ascii="Times New Roman" w:hAnsi="Times New Roman"/>
          <w:b w:val="0"/>
          <w:i w:val="0"/>
          <w:color w:val="000000"/>
          <w:sz w:val="26"/>
        </w:rPr>
        <w:t>• Mức học phí dao động từ 1.200.000 VNĐ đến 2.500.000 VNĐ / tín chỉ tùy thuộc từng ngành đào tạo.</w:t>
      </w:r>
    </w:p>
    <w:p>
      <w:pPr>
        <w:spacing w:before="0" w:after="60" w:line="300" w:lineRule="auto"/>
        <w:ind w:left="567" w:hanging="227"/>
        <w:jc w:val="both"/>
      </w:pPr>
      <w:r>
        <w:rPr>
          <w:rFonts w:ascii="Times New Roman" w:hAnsi="Times New Roman"/>
          <w:b w:val="0"/>
          <w:i w:val="0"/>
          <w:color w:val="000000"/>
          <w:sz w:val="26"/>
        </w:rPr>
        <w:t>• Học phí trung bình một năm học khoảng 40.000.000 VNĐ đến 60.000.000 VNĐ / năm.</w:t>
      </w:r>
    </w:p>
    <w:p>
      <w:pPr>
        <w:spacing w:before="180" w:after="80"/>
        <w:ind w:firstLine="0"/>
        <w:jc w:val="left"/>
      </w:pPr>
      <w:r>
        <w:rPr>
          <w:rFonts w:ascii="Times New Roman" w:hAnsi="Times New Roman"/>
          <w:b/>
          <w:i w:val="0"/>
          <w:color w:val="000000"/>
          <w:sz w:val="26"/>
        </w:rPr>
        <w:t>3. Tra cứu Công nợ và Lịch nộp Học phí</w:t>
      </w:r>
    </w:p>
    <w:p>
      <w:pPr>
        <w:spacing w:before="0" w:after="60" w:line="300" w:lineRule="auto"/>
        <w:ind w:left="283" w:hanging="227"/>
        <w:jc w:val="both"/>
      </w:pPr>
      <w:r>
        <w:rPr>
          <w:rFonts w:ascii="Times New Roman" w:hAnsi="Times New Roman"/>
          <w:b w:val="0"/>
          <w:i w:val="0"/>
          <w:color w:val="000000"/>
          <w:sz w:val="26"/>
        </w:rPr>
        <w:t>• Sinh viên có trách nhiệm chủ động tra cứu thông tin học phí và nghĩa vụ tài chính trên Cổng thông tin sinh viên SIS (</w:t>
      </w:r>
      <w:r>
        <w:rPr>
          <w:rFonts w:ascii="Times New Roman" w:hAnsi="Times New Roman"/>
          <w:b w:val="0"/>
          <w:i w:val="0"/>
          <w:color w:val="000000"/>
          <w:sz w:val="26"/>
        </w:rPr>
        <w:t>http://ctt.hust.edu.vn</w:t>
      </w:r>
      <w:r>
        <w:rPr>
          <w:rFonts w:ascii="Times New Roman" w:hAnsi="Times New Roman"/>
          <w:b w:val="0"/>
          <w:i w:val="0"/>
          <w:color w:val="000000"/>
          <w:sz w:val="26"/>
        </w:rPr>
        <w:t xml:space="preserve">) tại mục </w:t>
      </w:r>
      <w:r>
        <w:rPr>
          <w:rFonts w:ascii="Times New Roman" w:hAnsi="Times New Roman"/>
          <w:b w:val="0"/>
          <w:i w:val="0"/>
          <w:color w:val="000000"/>
          <w:sz w:val="26"/>
        </w:rPr>
        <w:t>Dịch vụ</w:t>
      </w:r>
      <w:r>
        <w:rPr>
          <w:rFonts w:ascii="Times New Roman" w:hAnsi="Times New Roman"/>
          <w:b w:val="0"/>
          <w:i w:val="0"/>
          <w:color w:val="000000"/>
          <w:sz w:val="26"/>
        </w:rPr>
        <w:t xml:space="preserve"> -&gt; </w:t>
      </w:r>
      <w:r>
        <w:rPr>
          <w:rFonts w:ascii="Times New Roman" w:hAnsi="Times New Roman"/>
          <w:b w:val="0"/>
          <w:i w:val="0"/>
          <w:color w:val="000000"/>
          <w:sz w:val="26"/>
        </w:rPr>
        <w:t>Học phí - Công nợ</w:t>
      </w:r>
      <w:r>
        <w:rPr>
          <w:rFonts w:ascii="Times New Roman" w:hAnsi="Times New Roman"/>
          <w:b w:val="0"/>
          <w:i w:val="0"/>
          <w:color w:val="000000"/>
          <w:sz w:val="26"/>
        </w:rPr>
        <w:t>.</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Lịch thanh toán học phí học kỳ chính:</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i w:val="0"/>
          <w:color w:val="000000"/>
          <w:sz w:val="26"/>
        </w:rPr>
        <w:t>Đợt 1 (Tạm thu 50%):</w:t>
      </w:r>
      <w:r>
        <w:rPr>
          <w:rFonts w:ascii="Times New Roman" w:hAnsi="Times New Roman"/>
          <w:b w:val="0"/>
          <w:i w:val="0"/>
          <w:color w:val="000000"/>
          <w:sz w:val="26"/>
        </w:rPr>
        <w:t xml:space="preserve"> Nộp trong 4 tuần đầu tiên kể từ khi bắt đầu học kỳ.</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i w:val="0"/>
          <w:color w:val="000000"/>
          <w:sz w:val="26"/>
        </w:rPr>
        <w:t>Đợt 2 (Thanh toán 100% chính thức):</w:t>
      </w:r>
      <w:r>
        <w:rPr>
          <w:rFonts w:ascii="Times New Roman" w:hAnsi="Times New Roman"/>
          <w:b w:val="0"/>
          <w:i w:val="0"/>
          <w:color w:val="000000"/>
          <w:sz w:val="26"/>
        </w:rPr>
        <w:t xml:space="preserve"> Nộp trước tuần thứ 10 của học kỳ sau khi đã chốt danh sách rút/bổ sung học phần.</w:t>
      </w:r>
    </w:p>
    <w:p>
      <w:pPr>
        <w:spacing w:before="180" w:after="80"/>
        <w:ind w:firstLine="0"/>
        <w:jc w:val="left"/>
      </w:pPr>
      <w:r>
        <w:rPr>
          <w:rFonts w:ascii="Times New Roman" w:hAnsi="Times New Roman"/>
          <w:b/>
          <w:i w:val="0"/>
          <w:color w:val="000000"/>
          <w:sz w:val="26"/>
        </w:rPr>
        <w:t>4. Phương thức Thanh toán</w:t>
      </w:r>
    </w:p>
    <w:p>
      <w:pPr>
        <w:spacing w:before="0" w:after="60" w:line="300" w:lineRule="auto"/>
        <w:ind w:left="283" w:hanging="227"/>
        <w:jc w:val="both"/>
      </w:pPr>
      <w:r>
        <w:rPr>
          <w:rFonts w:ascii="Times New Roman" w:hAnsi="Times New Roman"/>
          <w:b w:val="0"/>
          <w:i w:val="0"/>
          <w:color w:val="000000"/>
          <w:sz w:val="26"/>
        </w:rPr>
        <w:t>• Nhà trường triển khai thanh toán học phí hoàn toàn qua hệ thống ngân hàng và cổng thanh toán điện tử trực tuyến, không thu tiền mặt tại trường.</w:t>
      </w:r>
    </w:p>
    <w:p>
      <w:pPr>
        <w:spacing w:before="0" w:after="60" w:line="300" w:lineRule="auto"/>
        <w:ind w:left="283" w:hanging="227"/>
        <w:jc w:val="both"/>
      </w:pPr>
      <w:r>
        <w:rPr>
          <w:rFonts w:ascii="Times New Roman" w:hAnsi="Times New Roman"/>
          <w:b w:val="0"/>
          <w:i w:val="0"/>
          <w:color w:val="000000"/>
          <w:sz w:val="26"/>
        </w:rPr>
        <w:t>• Các kênh thanh toán chấp nhận:</w:t>
      </w:r>
    </w:p>
    <w:p>
      <w:pPr>
        <w:spacing w:before="0" w:after="60" w:line="300" w:lineRule="auto"/>
        <w:ind w:left="567" w:hanging="227"/>
        <w:jc w:val="both"/>
      </w:pPr>
      <w:r>
        <w:rPr>
          <w:rFonts w:ascii="Times New Roman" w:hAnsi="Times New Roman"/>
          <w:b w:val="0"/>
          <w:i w:val="0"/>
          <w:color w:val="000000"/>
          <w:sz w:val="26"/>
        </w:rPr>
        <w:t>• Chuyển khoản ngân hàng qua tài khoản định danh cá nhân liên kết (VietinBank, BIDV, Agribank).</w:t>
      </w:r>
    </w:p>
    <w:p>
      <w:pPr>
        <w:spacing w:before="0" w:after="60" w:line="300" w:lineRule="auto"/>
        <w:ind w:left="567" w:hanging="227"/>
        <w:jc w:val="both"/>
      </w:pPr>
      <w:r>
        <w:rPr>
          <w:rFonts w:ascii="Times New Roman" w:hAnsi="Times New Roman"/>
          <w:b w:val="0"/>
          <w:i w:val="0"/>
          <w:color w:val="000000"/>
          <w:sz w:val="26"/>
        </w:rPr>
        <w:t>• Cổng thanh toán trực tuyến VNPay, Viettel Money, Momo tích hợp trực tiếp trên cổng SIS.</w:t>
      </w:r>
    </w:p>
    <w:p>
      <w:pPr>
        <w:spacing w:before="180" w:after="80"/>
        <w:ind w:firstLine="0"/>
        <w:jc w:val="left"/>
      </w:pPr>
      <w:r>
        <w:rPr>
          <w:rFonts w:ascii="Times New Roman" w:hAnsi="Times New Roman"/>
          <w:b/>
          <w:i w:val="0"/>
          <w:color w:val="000000"/>
          <w:sz w:val="26"/>
        </w:rPr>
        <w:t>5. Xử lý Vi phạm Quá hạn Nộp Học phí</w:t>
      </w:r>
    </w:p>
    <w:p>
      <w:pPr>
        <w:spacing w:before="0" w:after="60" w:line="300" w:lineRule="auto"/>
        <w:ind w:left="283" w:hanging="227"/>
        <w:jc w:val="both"/>
      </w:pPr>
      <w:r>
        <w:rPr>
          <w:rFonts w:ascii="Times New Roman" w:hAnsi="Times New Roman"/>
          <w:b w:val="0"/>
          <w:i w:val="0"/>
          <w:color w:val="000000"/>
          <w:sz w:val="26"/>
        </w:rPr>
        <w:t>• Sinh viên không hoàn thành nghĩa vụ nộp học phí đúng thời hạn quy định sẽ chịu các hình thức xử lý sau:</w:t>
      </w:r>
    </w:p>
    <w:p>
      <w:pPr>
        <w:spacing w:before="0" w:after="60" w:line="300" w:lineRule="auto"/>
        <w:ind w:left="567" w:hanging="227"/>
        <w:jc w:val="both"/>
      </w:pPr>
      <w:r>
        <w:rPr>
          <w:rFonts w:ascii="Times New Roman" w:hAnsi="Times New Roman"/>
          <w:b w:val="0"/>
          <w:i w:val="0"/>
          <w:color w:val="000000"/>
          <w:sz w:val="26"/>
        </w:rPr>
        <w:t>• Bị khóa tài khoản đăng ký học phần trên hệ thống SIS cho học kỳ tiếp theo.</w:t>
      </w:r>
    </w:p>
    <w:p>
      <w:pPr>
        <w:spacing w:before="0" w:after="60" w:line="300" w:lineRule="auto"/>
        <w:ind w:left="567" w:hanging="227"/>
        <w:jc w:val="both"/>
      </w:pPr>
      <w:r>
        <w:rPr>
          <w:rFonts w:ascii="Times New Roman" w:hAnsi="Times New Roman"/>
          <w:b w:val="0"/>
          <w:i w:val="0"/>
          <w:color w:val="000000"/>
          <w:sz w:val="26"/>
        </w:rPr>
        <w:t>• Bị gạch tên khỏi danh sách thi kết thúc học phần của học kỳ hiện tại.</w:t>
      </w:r>
    </w:p>
    <w:p>
      <w:pPr>
        <w:spacing w:before="0" w:after="60" w:line="300" w:lineRule="auto"/>
        <w:ind w:left="567" w:hanging="227"/>
        <w:jc w:val="both"/>
      </w:pPr>
      <w:r>
        <w:rPr>
          <w:rFonts w:ascii="Times New Roman" w:hAnsi="Times New Roman"/>
          <w:b w:val="0"/>
          <w:i w:val="0"/>
          <w:color w:val="000000"/>
          <w:sz w:val="26"/>
        </w:rPr>
        <w:t xml:space="preserve">• Nhận điểm </w:t>
      </w:r>
      <w:r>
        <w:rPr>
          <w:rFonts w:ascii="Times New Roman" w:hAnsi="Times New Roman"/>
          <w:b w:val="0"/>
          <w:i w:val="0"/>
          <w:color w:val="000000"/>
          <w:sz w:val="26"/>
        </w:rPr>
        <w:t>F</w:t>
      </w:r>
      <w:r>
        <w:rPr>
          <w:rFonts w:ascii="Times New Roman" w:hAnsi="Times New Roman"/>
          <w:b w:val="0"/>
          <w:i w:val="0"/>
          <w:color w:val="000000"/>
          <w:sz w:val="26"/>
        </w:rPr>
        <w:t xml:space="preserve"> đối với tất cả các học phần đã đăng ký trong học kỳ nếu không hoàn thành học phí trước khi học kỳ kết thúc.</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80"/>
      <w:ind w:firstLine="72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