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03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QUY ĐỊNH PHỤC VỤ VÀ NỘI QUY SỬ DỤNG THƯ VIỆN TẠ QUANG BỬU ĐẠI HỌC BÁCH KHOA HÀ NỘI</w:t>
      </w:r>
    </w:p>
    <w:p>
      <w:pPr>
        <w:spacing w:before="180" w:after="80"/>
        <w:ind w:firstLine="0"/>
        <w:jc w:val="left"/>
      </w:pPr>
      <w:r>
        <w:rPr>
          <w:rFonts w:ascii="Times New Roman" w:hAnsi="Times New Roman"/>
          <w:b/>
          <w:i w:val="0"/>
          <w:color w:val="000000"/>
          <w:sz w:val="26"/>
        </w:rPr>
        <w:t>1. Đối tượng Phục vụ và Thẻ Thư viện</w:t>
      </w:r>
    </w:p>
    <w:p>
      <w:pPr>
        <w:spacing w:before="0" w:after="60" w:line="300" w:lineRule="auto"/>
        <w:ind w:left="283" w:hanging="227"/>
        <w:jc w:val="both"/>
      </w:pPr>
      <w:r>
        <w:rPr>
          <w:rFonts w:ascii="Times New Roman" w:hAnsi="Times New Roman"/>
          <w:b w:val="0"/>
          <w:i w:val="0"/>
          <w:color w:val="000000"/>
          <w:sz w:val="26"/>
        </w:rPr>
        <w:t>• Thư viện Tạ Quang Bửu phục vụ cán bộ, giảng viên, sinh viên và học viên sau đại học thuộc Đại học Bách khoa Hà Nội.</w:t>
      </w:r>
    </w:p>
    <w:p>
      <w:pPr>
        <w:spacing w:before="0" w:after="60" w:line="300" w:lineRule="auto"/>
        <w:ind w:left="283" w:hanging="227"/>
        <w:jc w:val="both"/>
      </w:pPr>
      <w:r>
        <w:rPr>
          <w:rFonts w:ascii="Times New Roman" w:hAnsi="Times New Roman"/>
          <w:b w:val="0"/>
          <w:i w:val="0"/>
          <w:color w:val="000000"/>
          <w:sz w:val="26"/>
        </w:rPr>
        <w:t>• Sinh viên sử dụng Thẻ sinh viên tích hợp hoặc mã QR trên ứng dụng di động iCTSV để check-in tại các cửa kiểm soát tự động và thực hiện các giao dịch mượn trả tài liệu.</w:t>
      </w:r>
    </w:p>
    <w:p>
      <w:pPr>
        <w:spacing w:before="0" w:after="60" w:line="300" w:lineRule="auto"/>
        <w:ind w:left="283" w:hanging="227"/>
        <w:jc w:val="both"/>
      </w:pPr>
      <w:r>
        <w:rPr>
          <w:rFonts w:ascii="Times New Roman" w:hAnsi="Times New Roman"/>
          <w:b w:val="0"/>
          <w:i w:val="0"/>
          <w:color w:val="000000"/>
          <w:sz w:val="26"/>
        </w:rPr>
        <w:t>• Nghiêm cấm việc cho người khác mượn thẻ sinh viên hoặc sử dụng thẻ của người khác để vào thư viện.</w:t>
      </w:r>
    </w:p>
    <w:p>
      <w:pPr>
        <w:spacing w:before="180" w:after="80"/>
        <w:ind w:firstLine="0"/>
        <w:jc w:val="left"/>
      </w:pPr>
      <w:r>
        <w:rPr>
          <w:rFonts w:ascii="Times New Roman" w:hAnsi="Times New Roman"/>
          <w:b/>
          <w:i w:val="0"/>
          <w:color w:val="000000"/>
          <w:sz w:val="26"/>
        </w:rPr>
        <w:t>2. Nội quy Chung trong Không gian Thư viện</w:t>
      </w:r>
    </w:p>
    <w:p>
      <w:pPr>
        <w:spacing w:before="0" w:after="60" w:line="300" w:lineRule="auto"/>
        <w:ind w:left="283" w:hanging="227"/>
        <w:jc w:val="both"/>
      </w:pPr>
      <w:r>
        <w:rPr>
          <w:rFonts w:ascii="Times New Roman" w:hAnsi="Times New Roman"/>
          <w:b w:val="0"/>
          <w:i w:val="0"/>
          <w:color w:val="000000"/>
          <w:sz w:val="26"/>
        </w:rPr>
        <w:t>• Bạn đọc phải gửi túi xách, balo, cặp sách tại khu vực tủ gửi đồ tự động tại Tầng 1 trước khi lên các phòng đọc và phòng mượn. Tự bảo quản tài sản có giá trị cao (tiền, điện thoại, máy tính).</w:t>
      </w:r>
    </w:p>
    <w:p>
      <w:pPr>
        <w:spacing w:before="0" w:after="60" w:line="300" w:lineRule="auto"/>
        <w:ind w:left="283" w:hanging="227"/>
        <w:jc w:val="both"/>
      </w:pPr>
      <w:r>
        <w:rPr>
          <w:rFonts w:ascii="Times New Roman" w:hAnsi="Times New Roman"/>
          <w:b w:val="0"/>
          <w:i w:val="0"/>
          <w:color w:val="000000"/>
          <w:sz w:val="26"/>
        </w:rPr>
        <w:t>• Giữ gìn trật tự, đi nhẹ, nói khẽ. Tắt chuông điện thoại di động hoặc chuyển sang chế độ rung.</w:t>
      </w:r>
    </w:p>
    <w:p>
      <w:pPr>
        <w:spacing w:before="0" w:after="60" w:line="300" w:lineRule="auto"/>
        <w:ind w:left="283" w:hanging="227"/>
        <w:jc w:val="both"/>
      </w:pPr>
      <w:r>
        <w:rPr>
          <w:rFonts w:ascii="Times New Roman" w:hAnsi="Times New Roman"/>
          <w:b w:val="0"/>
          <w:i w:val="0"/>
          <w:color w:val="000000"/>
          <w:sz w:val="26"/>
        </w:rPr>
        <w:t>• Không ăn uống, hút thuốc, mang chất dễ cháy nổ hoặc xả rác trong tất cả các phòng đọc.</w:t>
      </w:r>
    </w:p>
    <w:p>
      <w:pPr>
        <w:spacing w:before="0" w:after="60" w:line="300" w:lineRule="auto"/>
        <w:ind w:left="283" w:hanging="227"/>
        <w:jc w:val="both"/>
      </w:pPr>
      <w:r>
        <w:rPr>
          <w:rFonts w:ascii="Times New Roman" w:hAnsi="Times New Roman"/>
          <w:b w:val="0"/>
          <w:i w:val="0"/>
          <w:color w:val="000000"/>
          <w:sz w:val="26"/>
        </w:rPr>
        <w:t>• Không viết, vẽ, đánh dấu, gạch chân hoặc làm rách, hư hỏng tài liệu của thư viện.</w:t>
      </w:r>
    </w:p>
    <w:p>
      <w:pPr>
        <w:spacing w:before="180" w:after="80"/>
        <w:ind w:firstLine="0"/>
        <w:jc w:val="left"/>
      </w:pPr>
      <w:r>
        <w:rPr>
          <w:rFonts w:ascii="Times New Roman" w:hAnsi="Times New Roman"/>
          <w:b/>
          <w:i w:val="0"/>
          <w:color w:val="000000"/>
          <w:sz w:val="26"/>
        </w:rPr>
        <w:t>3. Quy định Mượn Tài liệu về Nhà</w:t>
      </w:r>
    </w:p>
    <w:p>
      <w:pPr>
        <w:spacing w:before="0" w:after="80" w:line="300" w:lineRule="auto"/>
        <w:ind w:firstLine="720"/>
        <w:jc w:val="both"/>
      </w:pPr>
      <w:r>
        <w:rPr>
          <w:rFonts w:ascii="Times New Roman" w:hAnsi="Times New Roman"/>
          <w:b w:val="0"/>
          <w:i w:val="0"/>
          <w:color w:val="000000"/>
          <w:sz w:val="26"/>
        </w:rPr>
        <w:t>Thư viện cung cấp dịch vụ mượn tài liệu về nhà tại 2 phòng chuyên trách:</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Phòng Mượn Giáo trình (Phòng 111):</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Số lượng tối đa:</w:t>
      </w:r>
      <w:r>
        <w:rPr>
          <w:rFonts w:ascii="Times New Roman" w:hAnsi="Times New Roman"/>
          <w:b w:val="0"/>
          <w:i w:val="0"/>
          <w:color w:val="000000"/>
          <w:sz w:val="26"/>
        </w:rPr>
        <w:t xml:space="preserve"> 08 cuốn giáo trình / lần mượn.</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Thời hạn mượn:</w:t>
      </w:r>
      <w:r>
        <w:rPr>
          <w:rFonts w:ascii="Times New Roman" w:hAnsi="Times New Roman"/>
          <w:b w:val="0"/>
          <w:i w:val="0"/>
          <w:color w:val="000000"/>
          <w:sz w:val="26"/>
        </w:rPr>
        <w:t xml:space="preserve"> Tối đa 60 ngày.</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Gia hạn:</w:t>
      </w:r>
      <w:r>
        <w:rPr>
          <w:rFonts w:ascii="Times New Roman" w:hAnsi="Times New Roman"/>
          <w:b w:val="0"/>
          <w:i w:val="0"/>
          <w:color w:val="000000"/>
          <w:sz w:val="26"/>
        </w:rPr>
        <w:t xml:space="preserve"> Được phép gia hạn 01 lần với thời hạn thêm 30 ngày (nếu tài liệu không có người khác đặt mượn trước).</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Phòng Mượn Sách Tham khảo (Phòng 102):</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Số lượng tối đa:</w:t>
      </w:r>
      <w:r>
        <w:rPr>
          <w:rFonts w:ascii="Times New Roman" w:hAnsi="Times New Roman"/>
          <w:b w:val="0"/>
          <w:i w:val="0"/>
          <w:color w:val="000000"/>
          <w:sz w:val="26"/>
        </w:rPr>
        <w:t xml:space="preserve"> 05 cuốn sách tham khảo / lần mượn.</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Thời hạn mượn:</w:t>
      </w:r>
      <w:r>
        <w:rPr>
          <w:rFonts w:ascii="Times New Roman" w:hAnsi="Times New Roman"/>
          <w:b w:val="0"/>
          <w:i w:val="0"/>
          <w:color w:val="000000"/>
          <w:sz w:val="26"/>
        </w:rPr>
        <w:t xml:space="preserve"> Tối đa 30 ngày.</w:t>
      </w:r>
    </w:p>
    <w:p>
      <w:pPr>
        <w:spacing w:before="0" w:after="60" w:line="300" w:lineRule="auto"/>
        <w:ind w:left="567" w:hanging="227"/>
        <w:jc w:val="both"/>
      </w:pPr>
      <w:r>
        <w:rPr>
          <w:rFonts w:ascii="Times New Roman" w:hAnsi="Times New Roman"/>
          <w:b w:val="0"/>
          <w:i w:val="0"/>
          <w:color w:val="000000"/>
          <w:sz w:val="26"/>
        </w:rPr>
        <w:t xml:space="preserve">• </w:t>
      </w:r>
      <w:r>
        <w:rPr>
          <w:rFonts w:ascii="Times New Roman" w:hAnsi="Times New Roman"/>
          <w:b/>
          <w:i w:val="0"/>
          <w:color w:val="000000"/>
          <w:sz w:val="26"/>
        </w:rPr>
        <w:t>Gia hạn:</w:t>
      </w:r>
      <w:r>
        <w:rPr>
          <w:rFonts w:ascii="Times New Roman" w:hAnsi="Times New Roman"/>
          <w:b w:val="0"/>
          <w:i w:val="0"/>
          <w:color w:val="000000"/>
          <w:sz w:val="26"/>
        </w:rPr>
        <w:t xml:space="preserve"> Được phép gia hạn 01 lần với thời hạn thêm 07 ngày.</w:t>
      </w:r>
    </w:p>
    <w:p>
      <w:pPr>
        <w:spacing w:before="180" w:after="80"/>
        <w:ind w:firstLine="0"/>
        <w:jc w:val="left"/>
      </w:pPr>
      <w:r>
        <w:rPr>
          <w:rFonts w:ascii="Times New Roman" w:hAnsi="Times New Roman"/>
          <w:b/>
          <w:i w:val="0"/>
          <w:color w:val="000000"/>
          <w:sz w:val="26"/>
        </w:rPr>
        <w:t>4. Quy trình Gia hạn Trực tuyến</w:t>
      </w:r>
    </w:p>
    <w:p>
      <w:pPr>
        <w:spacing w:before="0" w:after="60" w:line="300" w:lineRule="auto"/>
        <w:ind w:left="283" w:hanging="227"/>
        <w:jc w:val="both"/>
      </w:pPr>
      <w:r>
        <w:rPr>
          <w:rFonts w:ascii="Times New Roman" w:hAnsi="Times New Roman"/>
          <w:b w:val="0"/>
          <w:i w:val="0"/>
          <w:color w:val="000000"/>
          <w:sz w:val="26"/>
        </w:rPr>
        <w:t xml:space="preserve">• Bạn đọc chủ động gia hạn tài liệu qua Cổng tra cứu OPAC tại địa chỉ: </w:t>
      </w:r>
      <w:r>
        <w:rPr>
          <w:rFonts w:ascii="Times New Roman" w:hAnsi="Times New Roman"/>
          <w:b w:val="0"/>
          <w:i w:val="0"/>
          <w:color w:val="000000"/>
          <w:sz w:val="26"/>
        </w:rPr>
        <w:t>http://libopac.hust.edu.vn</w:t>
      </w:r>
      <w:r>
        <w:rPr>
          <w:rFonts w:ascii="Times New Roman" w:hAnsi="Times New Roman"/>
          <w:b w:val="0"/>
          <w:i w:val="0"/>
          <w:color w:val="000000"/>
          <w:sz w:val="26"/>
        </w:rPr>
        <w:t>.</w:t>
      </w:r>
    </w:p>
    <w:p>
      <w:pPr>
        <w:spacing w:before="0" w:after="60" w:line="300" w:lineRule="auto"/>
        <w:ind w:left="283" w:hanging="227"/>
        <w:jc w:val="both"/>
      </w:pPr>
      <w:r>
        <w:rPr>
          <w:rFonts w:ascii="Times New Roman" w:hAnsi="Times New Roman"/>
          <w:b w:val="0"/>
          <w:i w:val="0"/>
          <w:color w:val="000000"/>
          <w:sz w:val="26"/>
        </w:rPr>
        <w:t xml:space="preserve">• Đăng nhập bằng tài khoản cá nhân, vào mục </w:t>
      </w:r>
      <w:r>
        <w:rPr>
          <w:rFonts w:ascii="Times New Roman" w:hAnsi="Times New Roman"/>
          <w:b w:val="0"/>
          <w:i w:val="0"/>
          <w:color w:val="000000"/>
          <w:sz w:val="26"/>
        </w:rPr>
        <w:t>Tài khoản bạn đọc</w:t>
      </w:r>
      <w:r>
        <w:rPr>
          <w:rFonts w:ascii="Times New Roman" w:hAnsi="Times New Roman"/>
          <w:b w:val="0"/>
          <w:i w:val="0"/>
          <w:color w:val="000000"/>
          <w:sz w:val="26"/>
        </w:rPr>
        <w:t xml:space="preserve"> -&gt; </w:t>
      </w:r>
      <w:r>
        <w:rPr>
          <w:rFonts w:ascii="Times New Roman" w:hAnsi="Times New Roman"/>
          <w:b w:val="0"/>
          <w:i w:val="0"/>
          <w:color w:val="000000"/>
          <w:sz w:val="26"/>
        </w:rPr>
        <w:t>Danh sách sách đang mượn</w:t>
      </w:r>
      <w:r>
        <w:rPr>
          <w:rFonts w:ascii="Times New Roman" w:hAnsi="Times New Roman"/>
          <w:b w:val="0"/>
          <w:i w:val="0"/>
          <w:color w:val="000000"/>
          <w:sz w:val="26"/>
        </w:rPr>
        <w:t xml:space="preserve"> và chọn </w:t>
      </w:r>
      <w:r>
        <w:rPr>
          <w:rFonts w:ascii="Times New Roman" w:hAnsi="Times New Roman"/>
          <w:b w:val="0"/>
          <w:i w:val="0"/>
          <w:color w:val="000000"/>
          <w:sz w:val="26"/>
        </w:rPr>
        <w:t>Gia hạn</w:t>
      </w:r>
      <w:r>
        <w:rPr>
          <w:rFonts w:ascii="Times New Roman" w:hAnsi="Times New Roman"/>
          <w:b w:val="0"/>
          <w:i w:val="0"/>
          <w:color w:val="000000"/>
          <w:sz w:val="26"/>
        </w:rPr>
        <w:t>.</w:t>
      </w:r>
    </w:p>
    <w:p>
      <w:pPr>
        <w:spacing w:before="0" w:after="60" w:line="300" w:lineRule="auto"/>
        <w:ind w:left="283" w:hanging="227"/>
        <w:jc w:val="both"/>
      </w:pPr>
      <w:r>
        <w:rPr>
          <w:rFonts w:ascii="Times New Roman" w:hAnsi="Times New Roman"/>
          <w:b w:val="0"/>
          <w:i w:val="0"/>
          <w:color w:val="000000"/>
          <w:sz w:val="26"/>
        </w:rPr>
        <w:t>• Thời gian gia hạn trực tuyến phải được thực hiện trước ngày hết hạn mượn ít nhất 01 ngày.</w:t>
      </w:r>
    </w:p>
    <w:p>
      <w:pPr>
        <w:spacing w:before="180" w:after="80"/>
        <w:ind w:firstLine="0"/>
        <w:jc w:val="left"/>
      </w:pPr>
      <w:r>
        <w:rPr>
          <w:rFonts w:ascii="Times New Roman" w:hAnsi="Times New Roman"/>
          <w:b/>
          <w:i w:val="0"/>
          <w:color w:val="000000"/>
          <w:sz w:val="26"/>
        </w:rPr>
        <w:t>5. Xử lý Vi phạm Quá hạn và Làm mất Tài liệu</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Phạt mượn quá hạn:</w:t>
      </w:r>
      <w:r>
        <w:rPr>
          <w:rFonts w:ascii="Times New Roman" w:hAnsi="Times New Roman"/>
          <w:b w:val="0"/>
          <w:i w:val="0"/>
          <w:color w:val="000000"/>
          <w:sz w:val="26"/>
        </w:rPr>
        <w:t xml:space="preserve"> Tính phạt 2.000 VNĐ / 01 cuốn / 01 ngày quá hạn. Sinh viên phải nộp phạt tại Phòng 102 trước khi tiếp tục được mượn tài liệu mới.</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Làm mất hoặc hư hỏng tài liệu:</w:t>
      </w:r>
    </w:p>
    <w:p>
      <w:pPr>
        <w:spacing w:before="0" w:after="60" w:line="300" w:lineRule="auto"/>
        <w:ind w:left="567" w:hanging="227"/>
        <w:jc w:val="both"/>
      </w:pPr>
      <w:r>
        <w:rPr>
          <w:rFonts w:ascii="Times New Roman" w:hAnsi="Times New Roman"/>
          <w:b w:val="0"/>
          <w:i w:val="0"/>
          <w:color w:val="000000"/>
          <w:sz w:val="26"/>
        </w:rPr>
        <w:t>• Bạn đọc làm mất tài liệu có trách nhiệm mua đền đúng bản sách mới cùng tên, cùng tác giả, cùng nhà xuất bản.</w:t>
      </w:r>
    </w:p>
    <w:p>
      <w:pPr>
        <w:spacing w:before="0" w:after="60" w:line="300" w:lineRule="auto"/>
        <w:ind w:left="567" w:hanging="227"/>
        <w:jc w:val="both"/>
      </w:pPr>
      <w:r>
        <w:rPr>
          <w:rFonts w:ascii="Times New Roman" w:hAnsi="Times New Roman"/>
          <w:b w:val="0"/>
          <w:i w:val="0"/>
          <w:color w:val="000000"/>
          <w:sz w:val="26"/>
        </w:rPr>
        <w:t>• Trong trường hợp sách không còn xuất bản trên thị trường, bạn đọc phải bồi thường bằng tiền từ 200% đến 300% giá trị định giá của tài liệu theo quy định của Thư viện.</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Thanh toán ra trường:</w:t>
      </w:r>
      <w:r>
        <w:rPr>
          <w:rFonts w:ascii="Times New Roman" w:hAnsi="Times New Roman"/>
          <w:b w:val="0"/>
          <w:i w:val="0"/>
          <w:color w:val="000000"/>
          <w:sz w:val="26"/>
        </w:rPr>
        <w:t xml:space="preserve"> Sinh viên phải hoàn trả toàn bộ sách đã mượn và hoàn thành nghĩa vụ phí quá hạn (nếu có) để được Thư viện xác nhận hoàn thành thủ tục tốt nghiệp.</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