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BỘ QUY TẮC GIAO DỊCH COMMISSION</w:t>
      </w:r>
    </w:p>
    <w:p>
      <w:pPr>
        <w:spacing w:after="200"/>
        <w:jc w:val="center"/>
      </w:pPr>
      <w:r>
        <w:rPr>
          <w:rFonts w:ascii="Times New Roman" w:cs="Times New Roman" w:eastAsia="Times New Roman" w:hAnsi="Times New Roman"/>
          <w:i/>
          <w:iCs/>
          <w:color w:val="595959"/>
          <w:sz w:val="24"/>
          <w:szCs w:val="24"/>
        </w:rPr>
        <w:t xml:space="preserve">Áp dụng cho Người cung cấp dịch vụ và Khách hàng trên Nền tảng Vịnh Câu Chuyện</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VINH-BQTGC-01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Phiên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8.0</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Bản v8</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Ngày Nền tảng công bố chính thức</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17/2023/NĐ-CP quy định chi tiết một số điều và biện pháp thi hành Luật Sở hữu trí tuệ về quyền tác giả, quyền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sửa đổi 134/2026/NĐ-CP;</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xử phạt vi phạm hành chính về quyền tác giả, quyền liên quan (hiệu lực từ 15/02/2026);</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Bảo vệ quyền lợi người tiêu dùng 2023.</w:t>
      </w:r>
    </w:p>
    <w:p>
      <w:pPr>
        <w:pStyle w:val="Heading2"/>
        <w:spacing w:after="140" w:before="320"/>
      </w:pPr>
      <w:r>
        <w:rPr>
          <w:rFonts w:ascii="Times New Roman" w:cs="Times New Roman" w:eastAsia="Times New Roman" w:hAnsi="Times New Roman"/>
          <w:b/>
          <w:bCs/>
          <w:color w:val="1F3A5F"/>
          <w:sz w:val="26"/>
          <w:szCs w:val="26"/>
        </w:rPr>
        <w:t xml:space="preserve">ĐIỀU 0. GIẢI THÍCH THUẬT NGỮ</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Nền tảng / Web: </w:t>
      </w:r>
      <w:r>
        <w:rPr>
          <w:rFonts w:ascii="Times New Roman" w:cs="Times New Roman" w:eastAsia="Times New Roman" w:hAnsi="Times New Roman"/>
          <w:sz w:val="26"/>
          <w:szCs w:val="26"/>
        </w:rPr>
        <w:t xml:space="preserve">đơn vị vận hành, đóng vai trò trung gian hỗ trợ giao dịch giữa các bên. Nền tảng không phải một bên mua – bán, nhưng có quyền và trách nhiệm giám sát theo Bộ quy tắc này.</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Người cung cấp dịch vụ: </w:t>
      </w:r>
      <w:r>
        <w:rPr>
          <w:rFonts w:ascii="Times New Roman" w:cs="Times New Roman" w:eastAsia="Times New Roman" w:hAnsi="Times New Roman"/>
          <w:sz w:val="26"/>
          <w:szCs w:val="26"/>
        </w:rPr>
        <w:t xml:space="preserve">cá nhân hoặc nhóm cung cấp dịch vụ sáng tạo theo yêu cầu (commission) trên Nền tảng, bao gồm nhưng không giới hạn: người vẽ minh họa, người lồng tiếng, người viết thuê, và các loại hình dịch vụ sáng tạo khác được Nền tảng công nhận trong tương lai.</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Khách hàng: </w:t>
      </w:r>
      <w:r>
        <w:rPr>
          <w:rFonts w:ascii="Times New Roman" w:cs="Times New Roman" w:eastAsia="Times New Roman" w:hAnsi="Times New Roman"/>
          <w:sz w:val="26"/>
          <w:szCs w:val="26"/>
        </w:rPr>
        <w:t xml:space="preserve">cá nhân hoặc tổ chức đặt commission.</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TOS (Terms of Service): </w:t>
      </w:r>
      <w:r>
        <w:rPr>
          <w:rFonts w:ascii="Times New Roman" w:cs="Times New Roman" w:eastAsia="Times New Roman" w:hAnsi="Times New Roman"/>
          <w:sz w:val="26"/>
          <w:szCs w:val="26"/>
        </w:rPr>
        <w:t xml:space="preserve">điều khoản dịch vụ riêng do từng Người cung cấp dịch vụ tự soạn và công bố. TOS của mỗi người là phần bổ sung, không được trái với các mức tối thiểu quy định trong Bộ quy tắc chung này; nếu có mâu thuẫn, Bộ quy tắc chung có hiệu lực cao hơn.</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Bằng chứng giao dịch: </w:t>
      </w:r>
      <w:r>
        <w:rPr>
          <w:rFonts w:ascii="Times New Roman" w:cs="Times New Roman" w:eastAsia="Times New Roman" w:hAnsi="Times New Roman"/>
          <w:sz w:val="26"/>
          <w:szCs w:val="26"/>
        </w:rPr>
        <w:t xml:space="preserve">tin nhắn trên Nền tảng, hóa đơn/biên lai thanh toán, ảnh chụp brief, lịch sử chỉnh sửa, và lịch sử cấp/thu hồi quyền xem.</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Ngày làm việc: </w:t>
      </w:r>
      <w:r>
        <w:rPr>
          <w:rFonts w:ascii="Times New Roman" w:cs="Times New Roman" w:eastAsia="Times New Roman" w:hAnsi="Times New Roman"/>
          <w:sz w:val="26"/>
          <w:szCs w:val="26"/>
        </w:rPr>
        <w:t xml:space="preserve">không tính Thứ Bảy, Chủ nhật và ngày lễ theo lịch Việt Nam, trừ khi TOS của Người cung cấp dịch vụ quy định khác.</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Độ uy tín: </w:t>
      </w:r>
      <w:r>
        <w:rPr>
          <w:rFonts w:ascii="Times New Roman" w:cs="Times New Roman" w:eastAsia="Times New Roman" w:hAnsi="Times New Roman"/>
          <w:sz w:val="26"/>
          <w:szCs w:val="26"/>
        </w:rPr>
        <w:t xml:space="preserve">chỉ số phản ánh mức độ đáng tin cậy của một tài khoản, tính dựa trên số đơn hoàn thành, tỷ lệ hủy/thất bại, và việc có phát sinh giao dịch ngoài Nền tảng hay không.</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Brief: </w:t>
      </w:r>
      <w:r>
        <w:rPr>
          <w:rFonts w:ascii="Times New Roman" w:cs="Times New Roman" w:eastAsia="Times New Roman" w:hAnsi="Times New Roman"/>
          <w:sz w:val="26"/>
          <w:szCs w:val="26"/>
        </w:rPr>
        <w:t xml:space="preserve">bản tóm tắt, mô tả yêu cầu của Khách hàng dành cho Người cung cấp dịch vụ.</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Cấp độ đứng tên: </w:t>
      </w:r>
      <w:r>
        <w:rPr>
          <w:rFonts w:ascii="Times New Roman" w:cs="Times New Roman" w:eastAsia="Times New Roman" w:hAnsi="Times New Roman"/>
          <w:sz w:val="26"/>
          <w:szCs w:val="26"/>
        </w:rPr>
        <w:t xml:space="preserve">áp dụng riêng cho dịch vụ viết thuê — ba hình thức ghi nhận tác giả công khai cho tác phẩm viết thuê, quy định tại Điều 6.5.</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NGUYÊN TẮC CHUNG</w:t>
      </w:r>
    </w:p>
    <w:p>
      <w:pPr>
        <w:pStyle w:val="Heading2"/>
        <w:spacing w:after="140" w:before="320"/>
      </w:pPr>
      <w:r>
        <w:rPr>
          <w:rFonts w:ascii="Times New Roman" w:cs="Times New Roman" w:eastAsia="Times New Roman" w:hAnsi="Times New Roman"/>
          <w:b/>
          <w:bCs/>
          <w:color w:val="1F3A5F"/>
          <w:sz w:val="26"/>
          <w:szCs w:val="26"/>
        </w:rPr>
        <w:t xml:space="preserve">ĐIỀU 1. ĐIỀU KHOẢN CHUNG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Nghiêm cấm cả Người cung cấp dịch vụ lẫn Khách hàng sử dụng AI (tạo sinh nội dung, huấn luyện mô hình, chỉnh sửa bằng AI, v.v.) ở bất kỳ khâu nào của giao dịch commission. Đây là quy tắc riêng của Nền tảng nhằm bảo đảm minh bạch và công bằng giữa các bên, áp dụng bất kể pháp luật có công nhận quyền tác giả cho sản phẩm có sử dụng AI hay không (xem Điều 6.4).</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Hai bên phải đọc kỹ TOS và điều khoản giao dịch, xác nhận bằng một hành động rõ ràng ("Tôi đã đọc và đồng ý") trước khi giao dịch được kích hoạt trên hệ thống.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Mọi giao dịch phải minh bạch, không lừa đảo, không chiếm đoạt tiền hoặc tác phẩm, và không thực hiện các hành vi trái pháp luật.</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Không được cung cấp thông tin sai lệch về giá cả, sản phẩm, tình trạng đơn hàng, hoặc danh tính.</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Hai bên giữ thái độ lịch sự, không quấy rối, đe dọa, hoặc gây áp lực với đối phương.</w:t>
      </w:r>
    </w:p>
    <w:p>
      <w:pPr>
        <w:spacing w:after="100" w:before="160"/>
      </w:pPr>
      <w:r>
        <w:rPr>
          <w:rFonts w:ascii="Times New Roman" w:cs="Times New Roman" w:eastAsia="Times New Roman" w:hAnsi="Times New Roman"/>
          <w:b/>
          <w:bCs/>
          <w:i/>
          <w:iCs/>
          <w:sz w:val="26"/>
          <w:szCs w:val="26"/>
        </w:rPr>
        <w:t xml:space="preserve">1.1. Khuyến khích giao dịch qua Nền tảng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Nền tảng khuyến khích toàn bộ giao dịch — trao đổi brief, thanh toán, xác nhận đơn, bàn giao — được thực hiện qua các công cụ do Nền tảng cung cấp.</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Nếu các bên tự ý giao dịch ngoài Nền tảng, Nền tảng không chịu trách nhiệm với bất kỳ hoạt động nào có khả năng phát sinh hoặc đã phát sinh, bao gồm nhưng không giới hạn: lừa đảo, mất liên lạc, hoặc tranh chấp.</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Mỗi lần giao dịch ngoài Nền tảng bị phát hiện hoặc được xác nhận qua bất kỳ hình thức nào — bao gồm nhưng không giới hạn khiếu nại, tố cáo — sẽ được tính là một lần giao dịch thất bại đối với các bên liên quan, làm giảm Độ uy tín tương ứng.</w:t>
      </w:r>
    </w:p>
    <w:p>
      <w:pPr>
        <w:spacing w:after="100" w:before="160"/>
      </w:pPr>
      <w:r>
        <w:rPr>
          <w:rFonts w:ascii="Times New Roman" w:cs="Times New Roman" w:eastAsia="Times New Roman" w:hAnsi="Times New Roman"/>
          <w:b/>
          <w:bCs/>
          <w:i/>
          <w:iCs/>
          <w:sz w:val="26"/>
          <w:szCs w:val="26"/>
        </w:rPr>
        <w:t xml:space="preserve">1.2. Độ uy tín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Mỗi tài khoản có một chỉ số Độ uy tín hiển thị công khai, tính dựa trên: số đơn hoàn thành thành công, tỷ lệ hủy đơn/giao dịch thất bại, số lần giao dịch ngoài Nền tảng bị ghi nhận, và các vi phạm đã bị xử lý.</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Độ uy tín càng cao, tài khoản càng được ưu tiên hiển thị và được xem là đáng tin cậy hơn.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Độ uy tín giảm khi: hủy đơn không có lý do chính đáng, mất liên lạc, giao dịch ngoài Nền tảng, hoặc vi phạm các điều khoản khác trong Bộ quy tắc này.</w:t>
      </w:r>
    </w:p>
    <w:p>
      <w:pPr>
        <w:pStyle w:val="Heading2"/>
        <w:spacing w:after="140" w:before="320"/>
      </w:pPr>
      <w:r>
        <w:rPr>
          <w:rFonts w:ascii="Times New Roman" w:cs="Times New Roman" w:eastAsia="Times New Roman" w:hAnsi="Times New Roman"/>
          <w:b/>
          <w:bCs/>
          <w:color w:val="1F3A5F"/>
          <w:sz w:val="26"/>
          <w:szCs w:val="26"/>
        </w:rPr>
        <w:t xml:space="preserve">ĐIỀU 2. NGHĨA VỤ CÔNG KHAI THÔNG TIN CỦA NGƯỜI CUNG CẤP DỊCH VỤ</w:t>
      </w:r>
    </w:p>
    <w:p>
      <w:pPr>
        <w:spacing w:after="160" w:line="300"/>
        <w:jc w:val="both"/>
      </w:pPr>
      <w:r>
        <w:rPr>
          <w:rFonts w:ascii="Times New Roman" w:cs="Times New Roman" w:eastAsia="Times New Roman" w:hAnsi="Times New Roman"/>
          <w:b w:val="false"/>
          <w:bCs w:val="false"/>
          <w:i w:val="false"/>
          <w:iCs w:val="false"/>
          <w:sz w:val="26"/>
          <w:szCs w:val="26"/>
        </w:rPr>
        <w:t xml:space="preserve">Người cung cấp dịch vụ bắt buộc phải công khai đầy đủ các mục sau trong TOS trước khi mở commission. Hệ thống chỉ bật công tắc "Nhận đơn" khi đủ 11 mục — đây là ràng buộc kỹ thuật, không phải khuyến nghị.</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Mẫu sản phẩm (tối thiểu 5, phản ánh đúng năng lực hiện tại):</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Với vẽ minh họa và lồng tiếng: Người cung cấp dịch vụ tự upload; nếu không upload, hệ thống tự động lấy 5 sản phẩm mới nhất của người đó trên Nền tảng làm mẫu.</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Với viết thuê: không khuyến khích đăng sản phẩm mẫu từ bên ngoài Nền tảng. Hệ thống tự động liên kết tới 5 tác phẩm gần nhất mà chính Người viết thuê tự đứng tên trên Nền tảng (Cấp 1 theo Điều 6.5), loại trừ mọi tác phẩm ở Cấp 2 và Cấp 3 (Điều 6.6). Nếu chưa có tác phẩm nào tự đứng tên, Người viết thuê có thể dán liên kết portfolio ngoài Nền tảng, kèm nhãn "chưa được Nền tảng xác thực".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Bảng giá theo hạng mục và hình thức thanh toán được chấp nhận.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Mốc thanh toán (mặc định: đặt cọc tối thiểu 50% trước khi bắt đầu, 50% còn lại trước khi bàn giao, trừ khi các bên có thỏa thuận khác).</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Số slot nhận mỗi đợt và thời gian dự kiến hoàn thành.</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Số lần chỉnh sửa miễn phí và giá mỗi lần sửa phát sinh.</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Thể loại nhận/từ chối.</w:t>
      </w:r>
    </w:p>
    <w:p>
      <w:pPr>
        <w:spacing w:after="120" w:line="300"/>
        <w:ind w:left="215" w:hanging="215"/>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Phạm vi quyền sử dụng mặc định đi kèm mỗi mức giá (xem Điều 6).</w:t>
      </w:r>
    </w:p>
    <w:p>
      <w:pPr>
        <w:spacing w:after="120" w:line="300"/>
        <w:ind w:left="215" w:hanging="215"/>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Chính sách hủy đơn và bảng hoàn tiền theo tiến độ (xem Điều 5).</w:t>
      </w:r>
    </w:p>
    <w:p>
      <w:pPr>
        <w:spacing w:after="120" w:line="300"/>
        <w:ind w:left="215" w:hanging="215"/>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Thời hạn được coi là "mất liên lạc" (xem Điều 5.4).</w:t>
      </w:r>
    </w:p>
    <w:p>
      <w:pPr>
        <w:spacing w:after="120" w:line="300"/>
        <w:ind w:left="215" w:hanging="215"/>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Chính sách bảo mật, nếu có (xem Điều 6.3).</w:t>
      </w:r>
    </w:p>
    <w:p>
      <w:pPr>
        <w:spacing w:after="120" w:line="300"/>
        <w:ind w:left="215" w:hanging="215"/>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sz w:val="26"/>
          <w:szCs w:val="26"/>
        </w:rPr>
        <w:t xml:space="preserve">Lưu ý khác.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THANH TOÁN, BRIEF VÀ HỦY ĐƠN</w:t>
      </w:r>
    </w:p>
    <w:p>
      <w:pPr>
        <w:pStyle w:val="Heading2"/>
        <w:spacing w:after="140" w:before="320"/>
      </w:pPr>
      <w:r>
        <w:rPr>
          <w:rFonts w:ascii="Times New Roman" w:cs="Times New Roman" w:eastAsia="Times New Roman" w:hAnsi="Times New Roman"/>
          <w:b/>
          <w:bCs/>
          <w:color w:val="1F3A5F"/>
          <w:sz w:val="26"/>
          <w:szCs w:val="26"/>
        </w:rPr>
        <w:t xml:space="preserve">ĐIỀU 3. THANH TOÁN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Khách hàng thanh toán vào ví/tài khoản trung gian trên Nền tảng (nếu có). Nền tảng chỉ giải ngân cho Người cung cấp dịch vụ sau khi Khách hàng xác nhận đã nhận đủ theo thỏa thuận, hoặc tự động giải ngân sau 7 ngày kể từ khi Người cung cấp dịch vụ đánh dấu "đã bàn giao" nếu Khách hàng không phản hồi và không có khiếu nại.</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Nếu giao dịch được thực hiện ngoài hệ thống thanh toán của Nền tảng, áp dụng Điều 1.1.</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cung cấp dịch vụ không được yêu cầu thêm phí ngoài mức đã thống nhất, trừ chi phí phát sinh do thay đổi yêu cầu; khoản phát sinh phải được Khách hàng xác nhận bằng tin nhắn và lưu trữ trước khi thực hiện phần việc phát sinh đó.</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Nghiêm cấm hoàn tiền gian lận, báo giao dịch giả, sử dụng phương thức thanh toán gian lận, hoặc lợi dụng chính sách hoàn tiền để chiếm đoạt tác phẩm. Mức xử phạt và bồi thường tùy theo mức độ nghiêm trọng của hành vi vi phạm, do Nền tảng và người dùng thỏa thuận, bao gồm nhưng không giới hạn: xử phạt hành chính, khóa tài khoản tạm thời hoặc vĩnh viễn, và báo cáo hành vi vi phạm dân sự.</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Nếu TOS không quy định cụ thể, thời hạn phản hồi mặc định cho các bước xác nhận là tối đa 3 ngày làm việc.</w:t>
      </w:r>
    </w:p>
    <w:p>
      <w:pPr>
        <w:pStyle w:val="Heading2"/>
        <w:spacing w:after="140" w:before="320"/>
      </w:pPr>
      <w:r>
        <w:rPr>
          <w:rFonts w:ascii="Times New Roman" w:cs="Times New Roman" w:eastAsia="Times New Roman" w:hAnsi="Times New Roman"/>
          <w:b/>
          <w:bCs/>
          <w:color w:val="1F3A5F"/>
          <w:sz w:val="26"/>
          <w:szCs w:val="26"/>
        </w:rPr>
        <w:t xml:space="preserve">ĐIỀU 4. BRIEF VÀ CHỈNH SỬA</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Brief cần được thống nhất và Khách hàng xác nhận trước khi bắt đầu thực hiện.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Số lần chỉnh sửa miễn phí căn cứ theo TOS của từng Người cung cấp dịch vụ.</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Thay đổi hoàn toàn ý tưởng sau khi đã duyệt bản nháp được tính là phát sinh và phải báo giá trước khi tiếp tục; Khách hàng có quyền hủy đơn ở bước này theo bảng hoàn tiền tại Điều 5.1.</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Yêu cầu ngoài phạm vi ban đầu được xem là phát sinh. Người cung cấp dịch vụ có quyền từ chối yêu cầu vượt khả năng, chuyên môn, hoặc vi phạm TOS; khi đó, yêu cầu của Khách hàng được tính là một giao dịch thất bại.</w:t>
      </w:r>
    </w:p>
    <w:p>
      <w:pPr>
        <w:pStyle w:val="Heading2"/>
        <w:spacing w:after="140" w:before="320"/>
      </w:pPr>
      <w:r>
        <w:rPr>
          <w:rFonts w:ascii="Times New Roman" w:cs="Times New Roman" w:eastAsia="Times New Roman" w:hAnsi="Times New Roman"/>
          <w:b/>
          <w:bCs/>
          <w:color w:val="1F3A5F"/>
          <w:sz w:val="26"/>
          <w:szCs w:val="26"/>
        </w:rPr>
        <w:t xml:space="preserve">ĐIỀU 5. HỦY ĐƠN, HOÀN TIỀN VÀ MẤT LIÊN LẠC</w:t>
      </w:r>
    </w:p>
    <w:p>
      <w:pPr>
        <w:spacing w:after="100" w:before="160"/>
      </w:pPr>
      <w:r>
        <w:rPr>
          <w:rFonts w:ascii="Times New Roman" w:cs="Times New Roman" w:eastAsia="Times New Roman" w:hAnsi="Times New Roman"/>
          <w:b/>
          <w:bCs/>
          <w:i/>
          <w:iCs/>
          <w:sz w:val="26"/>
          <w:szCs w:val="26"/>
        </w:rPr>
        <w:t xml:space="preserve">5.1. Khung hoàn tiền tối thiểu theo tiến độ (Nền tảng hoàn tiền cho Khách hàng)</w:t>
      </w:r>
    </w:p>
    <w:tbl>
      <w:tblPr>
        <w:tblW w:type="dxa" w:w="9000"/>
        <w:tblBorders>
          <w:top w:val="single" w:color="999999" w:sz="4"/>
          <w:left w:val="single" w:color="999999" w:sz="4"/>
          <w:bottom w:val="single" w:color="999999" w:sz="4"/>
          <w:right w:val="single" w:color="999999" w:sz="4"/>
          <w:insideH w:val="single" w:color="CCCCCC" w:sz="2"/>
          <w:insideV w:val="single" w:color="CCCCCC" w:sz="2"/>
        </w:tblBorders>
      </w:tblPr>
      <w:tblGrid>
        <w:gridCol w:w="3200"/>
        <w:gridCol w:w="2900"/>
        <w:gridCol w:w="2900"/>
      </w:tblGrid>
      <w:tr>
        <w:trPr>
          <w:tblHeader/>
        </w:trPr>
        <w:tc>
          <w:tcPr>
            <w:tcW w:type="dxa" w:w="3200"/>
            <w:shd w:fill="1F3A5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Tiến độ tại thời điểm hủy</w:t>
            </w:r>
          </w:p>
        </w:tc>
        <w:tc>
          <w:tcPr>
            <w:tcW w:type="dxa" w:w="2900"/>
            <w:shd w:fill="1F3A5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Khách hàng hủy</w:t>
            </w:r>
          </w:p>
        </w:tc>
        <w:tc>
          <w:tcPr>
            <w:tcW w:type="dxa" w:w="2900"/>
            <w:shd w:fill="1F3A5F"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Người cung cấp dịch vụ hủy / lỗi do bên cung cấp</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Chưa bắt đầu (chưa có bản nháp)</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100%</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100%</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Đã có bản nháp, chưa duyệt</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tối thiểu 70%</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tối thiểu 90%</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Đã duyệt bản nháp, đang hoàn thiện</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tối thiểu 40%</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tối thiểu 70%</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Đã hoàn thiện, chưa bàn giao</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tối thiểu 10–20% (tùy TOS)</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Hoàn 100% phần chưa bàn giao</w:t>
            </w:r>
          </w:p>
        </w:tc>
      </w:tr>
    </w:tbl>
    <w:p>
      <w:pPr>
        <w:spacing w:before="120"/>
      </w:pP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Khách hàng có quyền yêu cầu hủy đơn bất kỳ lúc nào; mức hoàn tiền áp dụng theo bảng trên, trừ khi TOS công khai mức hoàn khác có lợi hơn cho Khách hàng.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cung cấp dịch vụ có quyền từ chối hoặc hủy đơn nếu Khách hàng vi phạm TOS hoặc đưa ra yêu cầu vượt quá khả năng thực hiện.</w:t>
      </w:r>
    </w:p>
    <w:p>
      <w:pPr>
        <w:spacing w:after="100" w:before="160"/>
      </w:pPr>
      <w:r>
        <w:rPr>
          <w:rFonts w:ascii="Times New Roman" w:cs="Times New Roman" w:eastAsia="Times New Roman" w:hAnsi="Times New Roman"/>
          <w:b/>
          <w:bCs/>
          <w:i/>
          <w:iCs/>
          <w:sz w:val="26"/>
          <w:szCs w:val="26"/>
        </w:rPr>
        <w:t xml:space="preserve">5.4. Mất liên lạc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Một bên được coi là mất liên lạc khi không phản hồi trong tối đa 72 giờ.</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Khách hàng mất liên lạc sau khi đơn đã bắt đầu thực hiện: Người cung cấp dịch vụ tạm dừng công việc; sau 7 ngày, có quyền xử lý theo chính sách hủy đơn của mình.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Người cung cấp dịch vụ mất liên lạc sau khi Khách hàng đã thanh toán: Khách hàng có quyền yêu cầu Nền tảng can thiệp sau 7 ngày không có phản hồi. Số tiền Khách hàng đã trả sẽ được hoàn lại 100%.</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Mỗi lần mất liên lạc dẫn đến hủy đơn đều làm giảm Độ uy tín của bên gây ra.</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Việc hủy đơn hoặc mất liên lạc không tự động cho phép bên còn lại sở hữu, đăng tải, hoặc bán lại phần sản phẩm dở dang nếu quyền sử dụng chưa được thống nhất, trừ khi các bên có thỏa thuận khác.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QUYỀN SỞ HỮU VÀ QUYỀN SỬ DỤNG SẢN PHẨM</w:t>
      </w:r>
    </w:p>
    <w:p>
      <w:pPr>
        <w:pStyle w:val="Heading2"/>
        <w:spacing w:after="140" w:before="320"/>
      </w:pPr>
      <w:r>
        <w:rPr>
          <w:rFonts w:ascii="Times New Roman" w:cs="Times New Roman" w:eastAsia="Times New Roman" w:hAnsi="Times New Roman"/>
          <w:b/>
          <w:bCs/>
          <w:color w:val="1F3A5F"/>
          <w:sz w:val="26"/>
          <w:szCs w:val="26"/>
        </w:rPr>
        <w:t xml:space="preserve">ĐIỀU 6. QUYỀN SỞ HỮU VÀ QUYỀN SỬ DỤNG SẢN PHẨM</w:t>
      </w:r>
    </w:p>
    <w:p>
      <w:pPr>
        <w:spacing w:after="100" w:before="160"/>
      </w:pPr>
      <w:r>
        <w:rPr>
          <w:rFonts w:ascii="Times New Roman" w:cs="Times New Roman" w:eastAsia="Times New Roman" w:hAnsi="Times New Roman"/>
          <w:b/>
          <w:bCs/>
          <w:i/>
          <w:iCs/>
          <w:sz w:val="26"/>
          <w:szCs w:val="26"/>
        </w:rPr>
        <w:t xml:space="preserve">6.1. Các loại quyền theo Luật Sở hữu trí tuệ Việt Nam</w:t>
      </w:r>
    </w:p>
    <w:p>
      <w:pPr>
        <w:spacing w:after="160" w:line="300"/>
        <w:jc w:val="both"/>
      </w:pPr>
      <w:r>
        <w:rPr>
          <w:rFonts w:ascii="Times New Roman" w:cs="Times New Roman" w:eastAsia="Times New Roman" w:hAnsi="Times New Roman"/>
          <w:b w:val="false"/>
          <w:bCs w:val="false"/>
          <w:i w:val="false"/>
          <w:iCs w:val="false"/>
          <w:sz w:val="26"/>
          <w:szCs w:val="26"/>
        </w:rPr>
        <w:t xml:space="preserve">Ba loại hình dịch vụ trên Nền tảng thuộc hai chế độ pháp lý khác nhau:</w:t>
      </w:r>
    </w:p>
    <w:p>
      <w:pPr>
        <w:spacing w:after="100" w:before="160"/>
      </w:pPr>
      <w:r>
        <w:rPr>
          <w:rFonts w:ascii="Times New Roman" w:cs="Times New Roman" w:eastAsia="Times New Roman" w:hAnsi="Times New Roman"/>
          <w:b/>
          <w:bCs/>
          <w:i/>
          <w:iCs/>
          <w:sz w:val="26"/>
          <w:szCs w:val="26"/>
        </w:rPr>
        <w:t xml:space="preserve">a) Vẽ minh họa và viết thuê — tương ứng với Quyền tác giả</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Quyền nhân thân:</w:t>
      </w:r>
      <w:r>
        <w:rPr>
          <w:rFonts w:ascii="Times New Roman" w:cs="Times New Roman" w:eastAsia="Times New Roman" w:hAnsi="Times New Roman"/>
          <w:sz w:val="26"/>
          <w:szCs w:val="26"/>
        </w:rPr>
        <w:t xml:space="preserve"> quyền đứng tên, quyền công bố tác phẩm, quyền bảo vệ tác phẩm không bị xuyên tạc hoặc sửa đổi sai lệch. Quyền này luôn thuộc về người trực tiếp sáng tạo, tồn tại vĩnh viễn, và không thể bán, tặng, hay chuyển giao — kể cả khi Khách hàng đã mua toàn quyền thương mại.</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Quyền tài sản:</w:t>
      </w:r>
      <w:r>
        <w:rPr>
          <w:rFonts w:ascii="Times New Roman" w:cs="Times New Roman" w:eastAsia="Times New Roman" w:hAnsi="Times New Roman"/>
          <w:sz w:val="26"/>
          <w:szCs w:val="26"/>
        </w:rPr>
        <w:t xml:space="preserve"> quyền sao chép, phân phối, công bố, làm tác phẩm phái sinh, và thương mại hóa. Đây là quyền có thể chuyển giao qua thỏa thuận, và là phần Khách hàng thực sự "mua" khi đặt commission. Nếu Khách hàng chỉ mua Quyền tài sản mà không kèm quyền đứng tên, tác phẩm được công bố theo hình thức đồng sáng tác — Cấp 2 tại Điều 6.5.</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Lưu ý: ý tưởng, khẩu hiệu, và tên tác phẩm đứng riêng lẻ không thuộc phạm vi được bảo hộ.</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Đối với dịch vụ viết thuê, ba cấp độ đứng tên tác giả công khai — giữ tên Người viết thuê, đồng sáng tác, hoặc đứng tên Khách hàng — được quy định thống nhất tại Điều 6.5; hệ quả về quyền và việc tính vào mẫu sản phẩm của mỗi cấp độ được quy định tại Điều 6.5 và Điều 6.6.</w:t>
      </w:r>
    </w:p>
    <w:p>
      <w:pPr>
        <w:spacing w:after="100" w:before="160"/>
      </w:pPr>
      <w:r>
        <w:rPr>
          <w:rFonts w:ascii="Times New Roman" w:cs="Times New Roman" w:eastAsia="Times New Roman" w:hAnsi="Times New Roman"/>
          <w:b/>
          <w:bCs/>
          <w:i/>
          <w:iCs/>
          <w:sz w:val="26"/>
          <w:szCs w:val="26"/>
        </w:rPr>
        <w:t xml:space="preserve">b) Lồng tiếng — tương ứng với Quyền liên quan</w:t>
      </w:r>
    </w:p>
    <w:p>
      <w:pPr>
        <w:spacing w:after="160" w:line="300"/>
        <w:jc w:val="both"/>
      </w:pPr>
      <w:r>
        <w:rPr>
          <w:rFonts w:ascii="Times New Roman" w:cs="Times New Roman" w:eastAsia="Times New Roman" w:hAnsi="Times New Roman"/>
          <w:b w:val="false"/>
          <w:bCs w:val="false"/>
          <w:i w:val="false"/>
          <w:iCs w:val="false"/>
          <w:sz w:val="26"/>
          <w:szCs w:val="26"/>
        </w:rPr>
        <w:t xml:space="preserve">Quyền liên quan (quyền liên quan đến quyền tác giả) là quyền dành cho người biểu diễn, nhà sản xuất bản ghi âm/ghi hình, và tổ chức phát sóng — khác với quyền tác giả vốn chỉ dành cho người trực tiếp sáng tạo tác phẩm gốc. Người lồng tiếng, với tư cách người biểu diễn, có hai nhóm quyền riêng đối với phần trình diễn của mình:</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Quyền nhân thân của người biểu diễn:</w:t>
      </w:r>
      <w:r>
        <w:rPr>
          <w:rFonts w:ascii="Times New Roman" w:cs="Times New Roman" w:eastAsia="Times New Roman" w:hAnsi="Times New Roman"/>
          <w:sz w:val="26"/>
          <w:szCs w:val="26"/>
        </w:rPr>
        <w:t xml:space="preserve"> quyền được nêu tên khi biểu diễn, và quyền bảo vệ sự toàn vẹn hình ảnh/âm thanh biểu diễn, không bị xuyên tạc hoặc cắt xén gây phương hại đến danh dự, uy tín. Quyền này luôn thuộc về người biểu diễn và không thể chuyển nhượng.</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Quyền tài sản của người biểu diễn:</w:t>
      </w:r>
      <w:r>
        <w:rPr>
          <w:rFonts w:ascii="Times New Roman" w:cs="Times New Roman" w:eastAsia="Times New Roman" w:hAnsi="Times New Roman"/>
          <w:sz w:val="26"/>
          <w:szCs w:val="26"/>
        </w:rPr>
        <w:t xml:space="preserve"> quyền cho phép định hình, sao chép, phát sóng, và truyền đạt bản ghi âm/ghi hình biểu diễn đến công chúng. Đây là quyền có thể chuyển giao qua thỏa thuận, và là phần Khách hàng thực sự "mua" khi đặt commission lồng tiếng.</w:t>
      </w:r>
    </w:p>
    <w:p>
      <w:pPr>
        <w:spacing w:after="160" w:line="300"/>
        <w:jc w:val="both"/>
      </w:pPr>
      <w:r>
        <w:rPr>
          <w:rFonts w:ascii="Times New Roman" w:cs="Times New Roman" w:eastAsia="Times New Roman" w:hAnsi="Times New Roman"/>
          <w:b w:val="false"/>
          <w:bCs w:val="false"/>
          <w:i w:val="false"/>
          <w:iCs w:val="false"/>
          <w:sz w:val="26"/>
          <w:szCs w:val="26"/>
        </w:rPr>
        <w:t xml:space="preserve">Khi ghi vào tin nhắn xác nhận, cần gọi đúng tên "quyền liên quan", không phải "quyền tác giả".</w:t>
      </w:r>
    </w:p>
    <w:p>
      <w:pPr>
        <w:spacing w:after="100" w:before="160"/>
      </w:pPr>
      <w:r>
        <w:rPr>
          <w:rFonts w:ascii="Times New Roman" w:cs="Times New Roman" w:eastAsia="Times New Roman" w:hAnsi="Times New Roman"/>
          <w:b/>
          <w:bCs/>
          <w:i/>
          <w:iCs/>
          <w:sz w:val="26"/>
          <w:szCs w:val="26"/>
        </w:rPr>
        <w:t xml:space="preserve">6.2. Hình thức chuyển giao quyền tài sản và các quyền liên quan về tài sản</w:t>
      </w:r>
    </w:p>
    <w:p>
      <w:pPr>
        <w:spacing w:after="160" w:line="300"/>
        <w:jc w:val="both"/>
      </w:pPr>
      <w:r>
        <w:rPr>
          <w:rFonts w:ascii="Times New Roman" w:cs="Times New Roman" w:eastAsia="Times New Roman" w:hAnsi="Times New Roman"/>
          <w:b w:val="false"/>
          <w:bCs w:val="false"/>
          <w:i w:val="false"/>
          <w:iCs w:val="false"/>
          <w:sz w:val="26"/>
          <w:szCs w:val="26"/>
        </w:rPr>
        <w:t xml:space="preserve">Việc chuyển nhượng phải được thể hiện rõ ràng bằng văn bản; tin nhắn xác nhận đơn hàng ghi rõ phạm vi quyền được xem là văn bản hợp lệ. Mỗi commission cần chốt rõ một trong ba mức sau:</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Cá nhân:</w:t>
      </w:r>
      <w:r>
        <w:rPr>
          <w:rFonts w:ascii="Times New Roman" w:cs="Times New Roman" w:eastAsia="Times New Roman" w:hAnsi="Times New Roman"/>
          <w:sz w:val="26"/>
          <w:szCs w:val="26"/>
        </w:rPr>
        <w:t xml:space="preserve"> dùng làm avatar, banner, đăng mạng xã hội cá nhân phi lợi nhuận.</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Thương mại giới hạn:</w:t>
      </w:r>
      <w:r>
        <w:rPr>
          <w:rFonts w:ascii="Times New Roman" w:cs="Times New Roman" w:eastAsia="Times New Roman" w:hAnsi="Times New Roman"/>
          <w:sz w:val="26"/>
          <w:szCs w:val="26"/>
        </w:rPr>
        <w:t xml:space="preserve"> dùng cho một mục đích cụ thể đã nêu, không mở rộng sang mục đích khác nếu chưa thỏa thuận thêm.</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Thương mại toàn phần/độc quyền:</w:t>
      </w:r>
      <w:r>
        <w:rPr>
          <w:rFonts w:ascii="Times New Roman" w:cs="Times New Roman" w:eastAsia="Times New Roman" w:hAnsi="Times New Roman"/>
          <w:sz w:val="26"/>
          <w:szCs w:val="26"/>
        </w:rPr>
        <w:t xml:space="preserve"> cần hợp đồng riêng, giá thường cao hơn đáng kể.</w:t>
      </w:r>
    </w:p>
    <w:p>
      <w:pPr>
        <w:spacing w:after="160" w:line="300"/>
        <w:jc w:val="both"/>
      </w:pPr>
      <w:r>
        <w:rPr>
          <w:rFonts w:ascii="Times New Roman" w:cs="Times New Roman" w:eastAsia="Times New Roman" w:hAnsi="Times New Roman"/>
          <w:b w:val="false"/>
          <w:bCs w:val="false"/>
          <w:i w:val="false"/>
          <w:iCs w:val="false"/>
          <w:sz w:val="26"/>
          <w:szCs w:val="26"/>
        </w:rPr>
        <w:t xml:space="preserve">Nếu không có xác nhận rõ ràng, mặc định Khách hàng chỉ có quyền sử dụng cá nhân và thương mại giới hạn.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Đăng ký bản quyền (tùy chọn): đối với commission giá trị cao mua toàn quyền độc quyền, hai bên có thể cân nhắc đăng ký Giấy chứng nhận quyền tác giả. Nếu người trực tiếp sáng tạo không đồng thời là chủ sở hữu, hồ sơ bắt buộc phải có văn bản cam đoan (do cá nhân tự soạn) xác nhận đã sáng tạo theo hợp đồng. Nếu sản phẩm có sử dụng AI, hồ sơ còn phải khai báo trung thực việc sử dụng AI.</w:t>
      </w:r>
    </w:p>
    <w:p>
      <w:pPr>
        <w:spacing w:after="100" w:before="160"/>
      </w:pPr>
      <w:r>
        <w:rPr>
          <w:rFonts w:ascii="Times New Roman" w:cs="Times New Roman" w:eastAsia="Times New Roman" w:hAnsi="Times New Roman"/>
          <w:b/>
          <w:bCs/>
          <w:i/>
          <w:iCs/>
          <w:sz w:val="26"/>
          <w:szCs w:val="26"/>
        </w:rPr>
        <w:t xml:space="preserve">6.3. Bàn giao sản phẩm</w:t>
      </w:r>
    </w:p>
    <w:p>
      <w:pPr>
        <w:spacing w:after="160" w:line="300"/>
        <w:jc w:val="both"/>
      </w:pPr>
      <w:r>
        <w:rPr>
          <w:rFonts w:ascii="Times New Roman" w:cs="Times New Roman" w:eastAsia="Times New Roman" w:hAnsi="Times New Roman"/>
          <w:b w:val="false"/>
          <w:bCs w:val="false"/>
          <w:i w:val="false"/>
          <w:iCs w:val="false"/>
          <w:sz w:val="26"/>
          <w:szCs w:val="26"/>
        </w:rPr>
        <w:t xml:space="preserve">Nguyên tắc chung: phí commission mặc định chỉ bao gồm việc tạo bản hiển thị trên Nền tảng, không bao gồm việc giao file gốc hoặc bản chất lượng đầy đủ để sử dụng ngoài Nền tảng.</w:t>
      </w:r>
    </w:p>
    <w:p>
      <w:pPr>
        <w:spacing w:after="100" w:before="160"/>
      </w:pPr>
      <w:r>
        <w:rPr>
          <w:rFonts w:ascii="Times New Roman" w:cs="Times New Roman" w:eastAsia="Times New Roman" w:hAnsi="Times New Roman"/>
          <w:b/>
          <w:bCs/>
          <w:i/>
          <w:iCs/>
          <w:sz w:val="26"/>
          <w:szCs w:val="26"/>
        </w:rPr>
        <w:t xml:space="preserve">a) Vẽ minh họa</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Khách hàng mặc định nhận "Link bìa" — đường dẫn do Nền tảng tạo, dẫn tới trang hiển thị tác phẩm trên hồ sơ người vẽ, không phải file ảnh gốc.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Khách hàng muốn nhận file gốc: thỏa thuận thêm phí với Người cung cấp dịch vụ.</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Gửi file gốc ra ngoài Nền tảng làm tăng nguy cơ tác phẩm bị đưa vào công cụ AI để huấn luyện hoặc sao chép trái phép.</w:t>
      </w:r>
    </w:p>
    <w:p>
      <w:pPr>
        <w:spacing w:after="100" w:before="160"/>
      </w:pPr>
      <w:r>
        <w:rPr>
          <w:rFonts w:ascii="Times New Roman" w:cs="Times New Roman" w:eastAsia="Times New Roman" w:hAnsi="Times New Roman"/>
          <w:b/>
          <w:bCs/>
          <w:i/>
          <w:iCs/>
          <w:sz w:val="26"/>
          <w:szCs w:val="26"/>
        </w:rPr>
        <w:t xml:space="preserve">b) Lồng tiếng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Khách hàng mặc định nhận link nghe trực tuyến, không phải file âm thanh gốc.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Khách hàng muốn nhận file gốc (WAV/MP3): thỏa thuận thêm phí với Người cung cấp dịch vụ.</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Gửi file gốc ra ngoài Nền tảng làm tăng nguy cơ giọng nói bị đưa vào công cụ AI để nhân bản giọng.</w:t>
      </w:r>
    </w:p>
    <w:p>
      <w:pPr>
        <w:spacing w:after="100" w:before="160"/>
      </w:pPr>
      <w:r>
        <w:rPr>
          <w:rFonts w:ascii="Times New Roman" w:cs="Times New Roman" w:eastAsia="Times New Roman" w:hAnsi="Times New Roman"/>
          <w:b/>
          <w:bCs/>
          <w:i/>
          <w:iCs/>
          <w:sz w:val="26"/>
          <w:szCs w:val="26"/>
        </w:rPr>
        <w:t xml:space="preserve">c) Viết thuê</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Truyện/văn bản viết thuê không được công khai trong quá trình thực hiện. Người viết thuê đăng bản thảo lên hệ thống, sau đó dùng chức năng "Cấp quyền xem" để gắn quyền đọc trực tiếp vào tài khoản Khách hàng đã đặt commission — hệ thống tự điền sẵn đúng một tài khoản Khách hàng tương ứng.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Bản thảo hiển thị dưới dạng đọc trong ứng dụng (không tải/copy/in), theo đúng nguyên tắc "không có bản gốc mặc định" nêu trên. Khách hàng muốn nhận file gốc: thỏa thuận thêm phí riêng với Người cung cấp dịch vụ, đồng thời cần thống nhất cấp độ đứng tên tác giả theo Điều 6.5.</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Quyền xem có thể thu hồi và cấp lại nếu cấp nhầm, cho đến khi đơn được đánh dấu "Hoàn thiện" — sau mốc này, Người cung cấp dịch vụ không được thu hồi và cấp lại quyền. Toàn bộ lịch sử cấp/thu hồi quyền (thời điểm, tài khoản liên quan) được ghi log đầy đủ.</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"Hoàn thiện" là mốc mở khóa quyền xem và kết thúc đơn: tại thời điểm này, tác phẩm chính thức được công bố theo cấp độ đứng tên đã thống nhất giữa các bên (Điều 6.5).</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Gửi file gốc ra ngoài Nền tảng làm tăng nguy cơ tác phẩm bị đưa vào công cụ AI để huấn luyện hoặc mô phỏng văn phong.</w:t>
      </w:r>
    </w:p>
    <w:p>
      <w:pPr>
        <w:spacing w:after="100" w:before="160"/>
      </w:pPr>
      <w:r>
        <w:rPr>
          <w:rFonts w:ascii="Times New Roman" w:cs="Times New Roman" w:eastAsia="Times New Roman" w:hAnsi="Times New Roman"/>
          <w:b/>
          <w:bCs/>
          <w:i/>
          <w:iCs/>
          <w:sz w:val="26"/>
          <w:szCs w:val="26"/>
        </w:rPr>
        <w:t xml:space="preserve">6.4. Sản phẩm có sử dụng AI</w:t>
      </w:r>
    </w:p>
    <w:p>
      <w:pPr>
        <w:spacing w:after="160" w:line="300"/>
        <w:jc w:val="both"/>
      </w:pPr>
      <w:r>
        <w:rPr>
          <w:rFonts w:ascii="Times New Roman" w:cs="Times New Roman" w:eastAsia="Times New Roman" w:hAnsi="Times New Roman"/>
          <w:b w:val="false"/>
          <w:bCs w:val="false"/>
          <w:i w:val="false"/>
          <w:iCs w:val="false"/>
          <w:sz w:val="26"/>
          <w:szCs w:val="26"/>
        </w:rPr>
        <w:t xml:space="preserve">Pháp luật hiện hành không tự động phủ nhận quyền tác giả đối với sản phẩm có sử dụng AI trong quá trình sáng tạo — tác phẩm vẫn được bảo hộ nếu con người có đóng góp mang tính quyết định và chịu trách nhiệm về nội dung. Chỉ khi sản phẩm hoàn toàn do AI tạo ra mới không phát sinh quyền tác giả. Quy định này không thay đổi lệnh cấm sử dụng AI của Nền tảng (Điều 1) — lệnh cấm đó là quy tắc riêng của Nền tảng.</w:t>
      </w:r>
    </w:p>
    <w:p>
      <w:pPr>
        <w:spacing w:after="160" w:line="300"/>
        <w:jc w:val="both"/>
      </w:pPr>
      <w:r>
        <w:rPr>
          <w:rFonts w:ascii="Times New Roman" w:cs="Times New Roman" w:eastAsia="Times New Roman" w:hAnsi="Times New Roman"/>
          <w:b w:val="false"/>
          <w:bCs w:val="false"/>
          <w:i w:val="false"/>
          <w:iCs w:val="false"/>
          <w:sz w:val="26"/>
          <w:szCs w:val="26"/>
        </w:rPr>
        <w:t xml:space="preserve">Pháp luật cho phép sử dụng tác phẩm đã công bố hợp pháp để huấn luyện AI phi thương mại, trừ khi chủ sở hữu quyền đã tuyên bố bảo lưu bằng phương thức gắn trong siêu dữ liệu hoặc watermark mà máy đọc được, công khai rõ ràng. Nền tảng gắn một dòng metadata hoặc watermark chuẩn hóa ("không cho phép huấn luyện AI") vào mọi ảnh, Link bìa, và bản audio hiển thị công khai để bảo vệ quyền của tác giả.</w:t>
      </w:r>
    </w:p>
    <w:p>
      <w:pPr>
        <w:spacing w:after="160" w:line="300"/>
        <w:jc w:val="both"/>
      </w:pPr>
      <w:r>
        <w:rPr>
          <w:rFonts w:ascii="Times New Roman" w:cs="Times New Roman" w:eastAsia="Times New Roman" w:hAnsi="Times New Roman"/>
          <w:b w:val="false"/>
          <w:bCs w:val="false"/>
          <w:i w:val="false"/>
          <w:iCs w:val="false"/>
          <w:sz w:val="26"/>
          <w:szCs w:val="26"/>
        </w:rPr>
        <w:t xml:space="preserve">Mức phạt hành chính thực tế nếu cố tình vô hiệu hóa cơ chế bảo vệ này (theo Nghị định xử phạt vi phạm hành chính về quyền tác giả, quyền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Hủy bỏ hoặc vô hiệu biện pháp công nghệ bảo vệ quyền: 30–50 triệu đồng.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Quảng cáo công cụ vô hiệu hóa: 50–70 triệu đồng.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Phân phối hoặc bán công cụ đó: 70–100 triệu đồng.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Sản xuất công cụ đó: 100–150 triệu đồng.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Xóa hoặc thay đổi thông tin quản lý quyền: 30–70 triệu đồng, mức cao hơn (70–100 triệu đồng) nếu tiếp tục phân phối bản đã bị xóa thông tin.</w:t>
      </w:r>
    </w:p>
    <w:p>
      <w:pPr>
        <w:spacing w:after="160" w:line="300"/>
        <w:jc w:val="both"/>
      </w:pPr>
      <w:r>
        <w:rPr>
          <w:rFonts w:ascii="Times New Roman" w:cs="Times New Roman" w:eastAsia="Times New Roman" w:hAnsi="Times New Roman"/>
          <w:b w:val="false"/>
          <w:bCs w:val="false"/>
          <w:i w:val="false"/>
          <w:iCs w:val="false"/>
          <w:sz w:val="26"/>
          <w:szCs w:val="26"/>
        </w:rPr>
        <w:t xml:space="preserve">Các mức trên áp dụng cho cá nhân; tổ chức vi phạm chịu mức phạt gấp đôi.</w:t>
      </w:r>
    </w:p>
    <w:p>
      <w:pPr>
        <w:spacing w:after="100" w:before="160"/>
      </w:pPr>
      <w:r>
        <w:rPr>
          <w:rFonts w:ascii="Times New Roman" w:cs="Times New Roman" w:eastAsia="Times New Roman" w:hAnsi="Times New Roman"/>
          <w:b/>
          <w:bCs/>
          <w:i/>
          <w:iCs/>
          <w:sz w:val="26"/>
          <w:szCs w:val="26"/>
        </w:rPr>
        <w:t xml:space="preserve">6.5. Ba cấp độ đứng tên tác giả đối với tác phẩm viết thuê</w:t>
      </w:r>
    </w:p>
    <w:p>
      <w:pPr>
        <w:spacing w:after="160" w:line="300"/>
        <w:jc w:val="both"/>
      </w:pPr>
      <w:r>
        <w:rPr>
          <w:rFonts w:ascii="Times New Roman" w:cs="Times New Roman" w:eastAsia="Times New Roman" w:hAnsi="Times New Roman"/>
          <w:b w:val="false"/>
          <w:bCs w:val="false"/>
          <w:i w:val="false"/>
          <w:iCs w:val="false"/>
          <w:sz w:val="26"/>
          <w:szCs w:val="26"/>
        </w:rPr>
        <w:t xml:space="preserve">Đây là điều khoản riêng cho dịch vụ viết thuê, tách biệt khỏi các bước xác nhận thông thường. Mỗi commission viết thuê phải chốt rõ một trong ba cấp độ sau trước khi đơn được đánh dấu "Hoàn thiện":</w:t>
      </w:r>
    </w:p>
    <w:p>
      <w:pPr>
        <w:spacing w:after="100" w:before="160"/>
      </w:pPr>
      <w:r>
        <w:rPr>
          <w:rFonts w:ascii="Times New Roman" w:cs="Times New Roman" w:eastAsia="Times New Roman" w:hAnsi="Times New Roman"/>
          <w:b/>
          <w:bCs/>
          <w:i/>
          <w:iCs/>
          <w:sz w:val="26"/>
          <w:szCs w:val="26"/>
        </w:rPr>
        <w:t xml:space="preserve">Cấp 1 — Đứng tên Người viết thuê</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được công bố dưới tên hoặc bút danh của Người viết thuê. Người viết thuê giữ nguyên toàn bộ quyền nhân thân; quyền tài sản được chuyển giao cho Khách hàng theo phạm vi đã thỏa thuận (Điều 6.2).</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Đây là hình thức mặc định nếu các bên không thỏa thuận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w:t>
      </w:r>
      <w:r>
        <w:rPr>
          <w:rFonts w:ascii="Times New Roman" w:cs="Times New Roman" w:eastAsia="Times New Roman" w:hAnsi="Times New Roman"/>
          <w:b/>
          <w:bCs/>
          <w:sz w:val="26"/>
          <w:szCs w:val="26"/>
        </w:rPr>
        <w:t xml:space="preserve">được tính</w:t>
      </w:r>
      <w:r>
        <w:rPr>
          <w:rFonts w:ascii="Times New Roman" w:cs="Times New Roman" w:eastAsia="Times New Roman" w:hAnsi="Times New Roman"/>
          <w:sz w:val="26"/>
          <w:szCs w:val="26"/>
        </w:rPr>
        <w:t xml:space="preserve"> vào mẫu sản phẩm tự động của Người viết thuê (không bị gắn cờ loại trừ theo Điều 6.6).</w:t>
      </w:r>
    </w:p>
    <w:p>
      <w:pPr>
        <w:spacing w:after="100" w:before="160"/>
      </w:pPr>
      <w:r>
        <w:rPr>
          <w:rFonts w:ascii="Times New Roman" w:cs="Times New Roman" w:eastAsia="Times New Roman" w:hAnsi="Times New Roman"/>
          <w:b/>
          <w:bCs/>
          <w:i/>
          <w:iCs/>
          <w:sz w:val="26"/>
          <w:szCs w:val="26"/>
        </w:rPr>
        <w:t xml:space="preserve">Cấp 2 — Đồng sáng tác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được công bố dưới tên của cả Người viết thuê và Khách hàng, với tư cách đồng tác giả. Quyền nhân thân được ghi nhận chung cho cả hai bên; quyền tài sản được chuyển giao theo phạm vi đã thỏa thuận.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w:t>
      </w:r>
      <w:r>
        <w:rPr>
          <w:rFonts w:ascii="Times New Roman" w:cs="Times New Roman" w:eastAsia="Times New Roman" w:hAnsi="Times New Roman"/>
          <w:b/>
          <w:bCs/>
          <w:sz w:val="26"/>
          <w:szCs w:val="26"/>
        </w:rPr>
        <w:t xml:space="preserve">bị loại trừ</w:t>
      </w:r>
      <w:r>
        <w:rPr>
          <w:rFonts w:ascii="Times New Roman" w:cs="Times New Roman" w:eastAsia="Times New Roman" w:hAnsi="Times New Roman"/>
          <w:sz w:val="26"/>
          <w:szCs w:val="26"/>
        </w:rPr>
        <w:t xml:space="preserve"> khỏi mẫu sản phẩm tự động của cả Người viết thuê và Khách hàng (nếu Khách hàng cũng mở dịch vụ viết trên Nền tảng), theo Điều 6.6.</w:t>
      </w:r>
    </w:p>
    <w:p>
      <w:pPr>
        <w:spacing w:after="100" w:before="160"/>
      </w:pPr>
      <w:r>
        <w:rPr>
          <w:rFonts w:ascii="Times New Roman" w:cs="Times New Roman" w:eastAsia="Times New Roman" w:hAnsi="Times New Roman"/>
          <w:b/>
          <w:bCs/>
          <w:i/>
          <w:iCs/>
          <w:sz w:val="26"/>
          <w:szCs w:val="26"/>
        </w:rPr>
        <w:t xml:space="preserve">Cấp 3 — Đứng tên Khách hàng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được công bố dưới tên của Khách hàng; Người viết thuê không xuất hiện với tư cách tác giả công khai.</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w:t>
      </w:r>
      <w:r>
        <w:rPr>
          <w:rFonts w:ascii="Times New Roman" w:cs="Times New Roman" w:eastAsia="Times New Roman" w:hAnsi="Times New Roman"/>
          <w:b/>
          <w:bCs/>
          <w:sz w:val="26"/>
          <w:szCs w:val="26"/>
        </w:rPr>
        <w:t xml:space="preserve">bị loại trừ</w:t>
      </w:r>
      <w:r>
        <w:rPr>
          <w:rFonts w:ascii="Times New Roman" w:cs="Times New Roman" w:eastAsia="Times New Roman" w:hAnsi="Times New Roman"/>
          <w:sz w:val="26"/>
          <w:szCs w:val="26"/>
        </w:rPr>
        <w:t xml:space="preserve"> khỏi mẫu sản phẩm tự động của cả hai bên, theo Điều 6.6.</w:t>
      </w:r>
    </w:p>
    <w:p>
      <w:pPr>
        <w:spacing w:after="160" w:line="300"/>
        <w:jc w:val="both"/>
      </w:pPr>
      <w:r>
        <w:rPr>
          <w:rFonts w:ascii="Times New Roman" w:cs="Times New Roman" w:eastAsia="Times New Roman" w:hAnsi="Times New Roman"/>
          <w:b w:val="false"/>
          <w:bCs w:val="false"/>
          <w:i w:val="false"/>
          <w:iCs w:val="false"/>
          <w:sz w:val="26"/>
          <w:szCs w:val="26"/>
        </w:rPr>
        <w:t xml:space="preserve">Cơ sở pháp lý cần hiểu rõ trước khi thỏa thuận cấp độ này: quyền đứng tên là một phần của quyền nhân thân, theo Luật Sở hữu trí tuệ Việt Nam không thể chuyển nhượng, dù hai bên có đồng ý bằng văn bản. Vì vậy: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Việc "để Khách hàng đứng tên tác giả" không phải là một sự chuyển nhượng có giá trị tuyệt đối trước pháp luật — về bản chất, đây chỉ là một thỏa thuận thực tế giữa hai bên, tương tự thông lệ viết thuê (ghostwriting) phổ biến trên thế giới.</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Người viết thuê (tác giả thật) về mặt pháp lý luôn giữ khả năng khẳng định lại quyền tác giả của mình sau này, kể cả sau khi đã đồng ý để Khách hàng đứng tên. Nền tảng không thể và không cam kết ngăn chặn khả năng này.</w:t>
      </w:r>
    </w:p>
    <w:p>
      <w:pPr>
        <w:spacing w:after="100" w:before="160"/>
      </w:pPr>
      <w:r>
        <w:rPr>
          <w:rFonts w:ascii="Times New Roman" w:cs="Times New Roman" w:eastAsia="Times New Roman" w:hAnsi="Times New Roman"/>
          <w:b/>
          <w:bCs/>
          <w:i/>
          <w:iCs/>
          <w:sz w:val="26"/>
          <w:szCs w:val="26"/>
        </w:rPr>
        <w:t xml:space="preserve">Quy trình xác nhận bắt buộc cho Cấp 2 và Cấp 3</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Việc chọn Cấp 2 hoặc Cấp 3 là một bước xác nhận riêng biệt, diễn ra ở giai đoạn thỏa thuận quyền/hoàn thiện đơn hàng — không được gộp vào checkbox đồng ý TOS chung lúc bắt đầu giao dịch.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Cả hai bên (Người viết thuê và Khách hàng) đều phải xác nhận riêng, không chỉ một bên.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Nội dung xác nhận phải cụ thể, không phải checkbox chung chung. Ví dụ với Cấp 3: "Tôi, [tên Người viết thuê], đồng ý để [tên Khách hàng] đứng tên tác giả công khai đối với tác phẩm [tên tác phẩm]." Với Cấp 2, nội dung xác nhận nêu rõ tên của cả hai đồng tác giả và tên tác phẩm.</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Trước khi xác nhận Cấp 3, cả hai bên phải được hiển thị đầy đủ nội dung cảnh báo sau: đây là thỏa thuận thực tế giữa hai bên, không phải chuyển nhượng quyền đứng tên theo nghĩa pháp lý tuyệt đối (vì pháp luật không cho phép chuyển nhượng quyền này); Người viết thuê vẫn giữ khả năng khẳng định lại quyền tác giả của mình sau này theo pháp luật, bất kể đã thỏa thuận; Nền tảng ghi nhận đây là thỏa thuận tự nguyện tại thời điểm xác nhận, không đảm bảo hiệu lực tuyệt đối trước pháp luật, và khuyến nghị hai bên cân nhắc kỹ, đặc biệt với tác phẩm có khả năng phát sinh giá trị lớn sau này.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Toàn bộ nội dung xác nhận, thời điểm, và tên tác phẩm liên quan được ghi log đầy đủ, làm bằng chứng rằng đây là thỏa thuận tự nguyện, không phải do Nền tảng hay một bên áp đặt.</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Cấp 3 chạm tới một quyền nhân thân không thể xóa bỏ theo pháp luật, khác hẳn các điều khoản vận hành thông thường. Nền tảng khuyến nghị có luật sư rà soát riêng nội dung và quy trình của cấp độ này trước khi công bố chính thức.</w:t>
      </w:r>
    </w:p>
    <w:p>
      <w:pPr>
        <w:spacing w:after="100" w:before="160"/>
      </w:pPr>
      <w:r>
        <w:rPr>
          <w:rFonts w:ascii="Times New Roman" w:cs="Times New Roman" w:eastAsia="Times New Roman" w:hAnsi="Times New Roman"/>
          <w:b/>
          <w:bCs/>
          <w:i/>
          <w:iCs/>
          <w:sz w:val="26"/>
          <w:szCs w:val="26"/>
        </w:rPr>
        <w:t xml:space="preserve">6.6. Loại trừ tác phẩm viết thuê khỏi đánh giá năng lực</w:t>
      </w:r>
    </w:p>
    <w:p>
      <w:pPr>
        <w:spacing w:after="160" w:line="300"/>
        <w:jc w:val="both"/>
      </w:pPr>
      <w:r>
        <w:rPr>
          <w:rFonts w:ascii="Times New Roman" w:cs="Times New Roman" w:eastAsia="Times New Roman" w:hAnsi="Times New Roman"/>
          <w:b w:val="false"/>
          <w:bCs w:val="false"/>
          <w:i w:val="false"/>
          <w:iCs w:val="false"/>
          <w:sz w:val="26"/>
          <w:szCs w:val="26"/>
        </w:rPr>
        <w:t xml:space="preserve">Mọi tác phẩm hoàn thành qua dịch vụ viết thuê trên Nền tảng ở Cấp 2 hoặc Cấp 3 (Điều 6.5) được gắn một cờ nội bộ đánh dấu là "tác phẩm viết thuê — loại trừ". Cờ này không ẩn nội dung tác phẩm: tác phẩm vẫn hiển thị công khai bình thường cho độc giả dưới tên đã chọn (đồng tác giả hoặc tên Khách hàng), đúng mục đích Khách hàng đã trả phí.</w:t>
      </w:r>
    </w:p>
    <w:p>
      <w:pPr>
        <w:spacing w:after="160" w:line="300"/>
        <w:jc w:val="both"/>
      </w:pPr>
      <w:r>
        <w:rPr>
          <w:rFonts w:ascii="Times New Roman" w:cs="Times New Roman" w:eastAsia="Times New Roman" w:hAnsi="Times New Roman"/>
          <w:b w:val="false"/>
          <w:bCs w:val="false"/>
          <w:i w:val="false"/>
          <w:iCs w:val="false"/>
          <w:sz w:val="26"/>
          <w:szCs w:val="26"/>
        </w:rPr>
        <w:t xml:space="preserve">Cờ này chỉ có tác dụng loại trừ tác phẩm đó khỏi:</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mục sản phẩm mẫu tự động của Người viết thuê;</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mục sản phẩm mẫu tự động hoặc đánh giá năng lực viết của Khách hàng, nếu Khách hàng cũng mở dịch vụ viết trên Nền tảng;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mọi thuật toán xếp hạng, gợi ý, hoặc đánh giá năng lực dựa trên văn phong.</w:t>
      </w:r>
    </w:p>
    <w:p>
      <w:pPr>
        <w:spacing w:after="160" w:line="300"/>
        <w:jc w:val="both"/>
      </w:pPr>
      <w:r>
        <w:rPr>
          <w:rFonts w:ascii="Times New Roman" w:cs="Times New Roman" w:eastAsia="Times New Roman" w:hAnsi="Times New Roman"/>
          <w:b w:val="false"/>
          <w:bCs w:val="false"/>
          <w:i w:val="false"/>
          <w:iCs w:val="false"/>
          <w:sz w:val="26"/>
          <w:szCs w:val="26"/>
        </w:rPr>
        <w:t xml:space="preserve">Tác phẩm ở Cấp 1 không bị gắn cờ này và được tính bình thường vào mẫu sản phẩm của Người viết thuê.</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Mục đích của quy định này là tránh để người đọc khác nhầm lẫn năng lực viết thật của người đứng tên công khai với tác phẩm do người khác viết thuê, đồng thời không ảnh hưởng tới uy tín của Người viết thuê trên các tác phẩm họ tự đứng tên (Cấp 1).</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IV. AI, ĐẠO NHÁI VÀ GIẢI QUYẾT TRANH CHẤP</w:t>
      </w:r>
    </w:p>
    <w:p>
      <w:pPr>
        <w:pStyle w:val="Heading2"/>
        <w:spacing w:after="140" w:before="320"/>
      </w:pPr>
      <w:r>
        <w:rPr>
          <w:rFonts w:ascii="Times New Roman" w:cs="Times New Roman" w:eastAsia="Times New Roman" w:hAnsi="Times New Roman"/>
          <w:b/>
          <w:bCs/>
          <w:color w:val="1F3A5F"/>
          <w:sz w:val="26"/>
          <w:szCs w:val="26"/>
        </w:rPr>
        <w:t xml:space="preserve">ĐIỀU 7. AI VÀ ĐẠO NHÁI</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Không được đăng sản phẩm không thuộc quyền sở hữu của bản thân; phát hiện sẽ bị xử lý ngay.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Không nhận commission bằng cách sao chép trực tiếp tác phẩm, giọng nói, hoặc văn phong của người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Nghiêm cấm sử dụng AI trong quá trình thực hiện commission, dù với bất kỳ mục đích gì (xem Điều 6.4).</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Không được sử dụng sản phẩm trên Nền tảng để huấn luyện AI, sao chép nét vẽ/giọng nói/văn phong, hay bất kỳ mục đích nào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Không được giả mạo người khác hoặc sử dụng portfolio/sản phẩm mẫu của người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Cố tình vô hiệu hóa watermark hoặc biện pháp bảo vệ kỹ thuật khác, hoặc xóa/thay đổi thông tin quản lý quyền, là vi phạm nghiêm trọng — có thể bị xử phạt hành chính từ 30 triệu đồng trở lên theo pháp luật hiện hành, độc lập với xử lý nội bộ của Nền tảng (xem Điều 6.4).</w:t>
      </w:r>
    </w:p>
    <w:p>
      <w:pPr>
        <w:spacing w:after="100" w:before="160"/>
      </w:pPr>
      <w:r>
        <w:rPr>
          <w:rFonts w:ascii="Times New Roman" w:cs="Times New Roman" w:eastAsia="Times New Roman" w:hAnsi="Times New Roman"/>
          <w:b/>
          <w:bCs/>
          <w:i/>
          <w:iCs/>
          <w:sz w:val="26"/>
          <w:szCs w:val="26"/>
        </w:rPr>
        <w:t xml:space="preserve">Cơ chế xử lý theo cấp độ (nội bộ Nền tảng)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Vi phạm lần 1 (nghi ngờ, chưa đủ bằng chứng rõ ràng): cảnh cáo, yêu cầu giải trình hoặc cung cấp bằng chứng quá trình thực hiện.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Vi phạm có bằng chứng rõ ràng: khóa tài khoản, buộc hoàn tiền 100% cho các đơn hàng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Tái phạm: cấm vĩnh viễn khỏi Nền tảng.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Bên bị xử lý có quyền khiếu nại kèm bằng chứng phản biện trong vòng 7 ngày làm việc trước khi hình thức xử lý có hiệu lực chính thức.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Xử lý nội bộ của Nền tảng không thay thế và không loại trừ quyền của bên bị hại tố cáo hành vi ra cơ quan nhà nước có thẩm quyền (xem Điều 8).</w:t>
      </w:r>
    </w:p>
    <w:p>
      <w:pPr>
        <w:pStyle w:val="Heading2"/>
        <w:spacing w:after="140" w:before="320"/>
      </w:pPr>
      <w:r>
        <w:rPr>
          <w:rFonts w:ascii="Times New Roman" w:cs="Times New Roman" w:eastAsia="Times New Roman" w:hAnsi="Times New Roman"/>
          <w:b/>
          <w:bCs/>
          <w:color w:val="1F3A5F"/>
          <w:sz w:val="26"/>
          <w:szCs w:val="26"/>
        </w:rPr>
        <w:t xml:space="preserve">ĐIỀU 8. GIẢI QUYẾT TRANH CHẤP</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Tự thương lượng:</w:t>
      </w:r>
      <w:r>
        <w:rPr>
          <w:rFonts w:ascii="Times New Roman" w:cs="Times New Roman" w:eastAsia="Times New Roman" w:hAnsi="Times New Roman"/>
          <w:sz w:val="26"/>
          <w:szCs w:val="26"/>
        </w:rPr>
        <w:t xml:space="preserve"> hai bên trao đổi trực tiếp trên Nền tảng, trong thời hạn 3 ngày.</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Trung tâm hòa giải của Nền tảng:</w:t>
      </w:r>
      <w:r>
        <w:rPr>
          <w:rFonts w:ascii="Times New Roman" w:cs="Times New Roman" w:eastAsia="Times New Roman" w:hAnsi="Times New Roman"/>
          <w:sz w:val="26"/>
          <w:szCs w:val="26"/>
        </w:rPr>
        <w:t xml:space="preserve"> nếu không tự thỏa thuận được, một trong hai bên gửi yêu cầu kèm bằng chứng giao dịch; Nền tảng phản hồi trong 5 ngày làm việc.</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Quyết định của Nền tảng:</w:t>
      </w:r>
      <w:r>
        <w:rPr>
          <w:rFonts w:ascii="Times New Roman" w:cs="Times New Roman" w:eastAsia="Times New Roman" w:hAnsi="Times New Roman"/>
          <w:sz w:val="26"/>
          <w:szCs w:val="26"/>
        </w:rPr>
        <w:t xml:space="preserve"> dựa trên bằng chứng và Bộ quy tắc này, không thay thế vai trò của tòa án, trọng tài, hay cơ quan quản lý nhà nước.</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Ngoài phạm vi Nền tảng</w:t>
      </w:r>
      <w:r>
        <w:rPr>
          <w:rFonts w:ascii="Times New Roman" w:cs="Times New Roman" w:eastAsia="Times New Roman" w:hAnsi="Times New Roman"/>
          <w:sz w:val="26"/>
          <w:szCs w:val="26"/>
        </w:rPr>
        <w:t xml:space="preserve"> — hai lựa chọn song song: khởi kiện dân sự hoặc hòa giải tiêu dùng theo Luật Bảo vệ quyền lợi người tiêu dùng 2023 (tranh chấp dân sự dưới 100 triệu đồng theo thủ tục rút gọn), phù hợp khi cần đòi bồi thường thiệt hại cụ thể; hoặc gửi đơn yêu cầu xử phạt vi phạm hành chính tới cơ quan quản lý nhà nước có thẩm quyền — không yêu cầu chứng minh thiệt hại cụ thể như kiện dân sự, chỉ cần chứng minh hành vi xâm phạm đã xảy ra.</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Nền tảng đóng vai trò trung gian hỗ trợ, không phải luật sư, và không đưa ra tư vấn pháp lý. Các quyết định nội bộ của Nền tảng không tước quyền khởi kiện hoặc quyền tố cáo của hai bên theo pháp luật.</w:t>
      </w:r>
    </w:p>
    <w:p>
      <w:pPr>
        <w:pStyle w:val="Heading2"/>
        <w:spacing w:after="140" w:before="320"/>
      </w:pPr>
      <w:r>
        <w:rPr>
          <w:rFonts w:ascii="Times New Roman" w:cs="Times New Roman" w:eastAsia="Times New Roman" w:hAnsi="Times New Roman"/>
          <w:b/>
          <w:bCs/>
          <w:color w:val="1F3A5F"/>
          <w:sz w:val="26"/>
          <w:szCs w:val="26"/>
        </w:rPr>
        <w:t xml:space="preserve">ĐIỀU 9. HIỆU LỰC VÀ SỬA ĐỔI</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quy tắc này áp dụng cho mọi giao dịch commission trên Nền tảng kể từ ngày công bố; TOS riêng của từng Người cung cấp dịch vụ là phần bổ sung, không được trái với các mức tối thiểu tại đây.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Nền tảng có quyền cập nhật Bộ quy tắc; bản cập nhật có hiệu lực với giao dịch mới, không hồi tố với giao dịch đã hoàn tất trước đó.</w:t>
      </w:r>
    </w:p>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VINH-BQTGC-01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Bộ quy tắc giao dịch Commission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2026-09-03T03:06:23.867Z</dcterms:created>
  <dcterms:modified xsi:type="dcterms:W3CDTF">2026-09-03T03:06:23.868Z</dcterms:modified>
</cp:coreProperties>
</file>

<file path=docProps/custom.xml><?xml version="1.0" encoding="utf-8"?>
<Properties xmlns="http://schemas.openxmlformats.org/officeDocument/2006/custom-properties" xmlns:vt="http://schemas.openxmlformats.org/officeDocument/2006/docPropsVTypes"/>
</file>