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Times New Roman" w:cs="Times New Roman" w:eastAsia="Times New Roman" w:hAnsi="Times New Roman"/>
          <w:b/>
          <w:bCs/>
          <w:color w:val="1F3A5F"/>
          <w:sz w:val="34"/>
          <w:szCs w:val="34"/>
        </w:rPr>
        <w:t xml:space="preserve">CHÍNH SÁCH BẢO MẬT</w:t>
      </w:r>
    </w:p>
    <w:p>
      <w:pPr>
        <w:spacing w:after="200"/>
        <w:jc w:val="center"/>
      </w:pPr>
      <w:r>
        <w:rPr>
          <w:rFonts w:ascii="Times New Roman" w:cs="Times New Roman" w:eastAsia="Times New Roman" w:hAnsi="Times New Roman"/>
          <w:i/>
          <w:iCs/>
          <w:color w:val="595959"/>
          <w:sz w:val="24"/>
          <w:szCs w:val="24"/>
        </w:rPr>
        <w:t xml:space="preserve">Chính sách bảo mật dữ liệu cá nhân áp dụng cho Người dùng của Nền tảng Vịnh Câu Chuyện</w:t>
      </w:r>
    </w:p>
    <w:tbl>
      <w:tblPr>
        <w:tblW w:type="pct" w:w="100%"/>
        <w:tblBorders>
          <w:top w:val="single" w:color="CCCCCC" w:sz="4"/>
          <w:left w:val="none"/>
          <w:bottom w:val="single" w:color="CCCCCC" w:sz="4"/>
          <w:right w:val="none"/>
          <w:insideH w:val="single" w:color="E5E5E5" w:sz="2"/>
          <w:insideV w:val="none"/>
        </w:tblBorders>
      </w:tblPr>
      <w:tblGrid>
        <w:gridCol w:w="100"/>
        <w:gridCol w:w="100"/>
      </w:tblGrid>
      <w:tr>
        <w:tc>
          <w:tcPr>
            <w:tcW w:type="pct" w:w="30%"/>
            <w:shd w:fill="F2F2F2" w:val="clear"/>
            <w:tcMar>
              <w:top w:type="dxa" w:w="60"/>
              <w:left w:type="dxa" w:w="120"/>
              <w:bottom w:type="dxa" w:w="60"/>
              <w:right w:type="dxa" w:w="120"/>
            </w:tcMar>
            <w:vAlign w:val="center"/>
          </w:tcPr>
          <w:p>
            <w:r>
              <w:rPr>
                <w:rFonts w:ascii="Times New Roman" w:cs="Times New Roman" w:eastAsia="Times New Roman" w:hAnsi="Times New Roman"/>
                <w:b/>
                <w:bCs/>
                <w:color w:val="1F3A5F"/>
                <w:sz w:val="22"/>
                <w:szCs w:val="22"/>
              </w:rPr>
              <w:t xml:space="preserve">Mã văn bản</w:t>
            </w:r>
          </w:p>
        </w:tc>
        <w:tc>
          <w:tcPr>
            <w:tcW w:type="pct" w:w="70%"/>
            <w:tcMar>
              <w:top w:type="dxa" w:w="60"/>
              <w:left w:type="dxa" w:w="120"/>
              <w:bottom w:type="dxa" w:w="60"/>
              <w:right w:type="dxa" w:w="120"/>
            </w:tcMar>
            <w:vAlign w:val="center"/>
          </w:tcPr>
          <w:p>
            <w:r>
              <w:rPr>
                <w:rFonts w:ascii="Times New Roman" w:cs="Times New Roman" w:eastAsia="Times New Roman" w:hAnsi="Times New Roman"/>
                <w:sz w:val="22"/>
                <w:szCs w:val="22"/>
              </w:rPr>
              <w:t xml:space="preserve">VINH-CSBM-01</w:t>
            </w:r>
          </w:p>
        </w:tc>
      </w:tr>
      <w:tr>
        <w:tc>
          <w:tcPr>
            <w:tcW w:type="pct" w:w="30%"/>
            <w:shd w:fill="F2F2F2" w:val="clear"/>
            <w:tcMar>
              <w:top w:type="dxa" w:w="60"/>
              <w:left w:type="dxa" w:w="120"/>
              <w:bottom w:type="dxa" w:w="60"/>
              <w:right w:type="dxa" w:w="120"/>
            </w:tcMar>
            <w:vAlign w:val="center"/>
          </w:tcPr>
          <w:p>
            <w:r>
              <w:rPr>
                <w:rFonts w:ascii="Times New Roman" w:cs="Times New Roman" w:eastAsia="Times New Roman" w:hAnsi="Times New Roman"/>
                <w:b/>
                <w:bCs/>
                <w:color w:val="1F3A5F"/>
                <w:sz w:val="22"/>
                <w:szCs w:val="22"/>
              </w:rPr>
              <w:t xml:space="preserve">Phiên bản</w:t>
            </w:r>
          </w:p>
        </w:tc>
        <w:tc>
          <w:tcPr>
            <w:tcW w:type="pct" w:w="70%"/>
            <w:tcMar>
              <w:top w:type="dxa" w:w="60"/>
              <w:left w:type="dxa" w:w="120"/>
              <w:bottom w:type="dxa" w:w="60"/>
              <w:right w:type="dxa" w:w="120"/>
            </w:tcMar>
            <w:vAlign w:val="center"/>
          </w:tcPr>
          <w:p>
            <w:r>
              <w:rPr>
                <w:rFonts w:ascii="Times New Roman" w:cs="Times New Roman" w:eastAsia="Times New Roman" w:hAnsi="Times New Roman"/>
                <w:sz w:val="22"/>
                <w:szCs w:val="22"/>
              </w:rPr>
              <w:t xml:space="preserve">1.1</w:t>
            </w:r>
          </w:p>
        </w:tc>
      </w:tr>
      <w:tr>
        <w:tc>
          <w:tcPr>
            <w:tcW w:type="pct" w:w="30%"/>
            <w:shd w:fill="F2F2F2" w:val="clear"/>
            <w:tcMar>
              <w:top w:type="dxa" w:w="60"/>
              <w:left w:type="dxa" w:w="120"/>
              <w:bottom w:type="dxa" w:w="60"/>
              <w:right w:type="dxa" w:w="120"/>
            </w:tcMar>
            <w:vAlign w:val="center"/>
          </w:tcPr>
          <w:p>
            <w:r>
              <w:rPr>
                <w:rFonts w:ascii="Times New Roman" w:cs="Times New Roman" w:eastAsia="Times New Roman" w:hAnsi="Times New Roman"/>
                <w:b/>
                <w:bCs/>
                <w:color w:val="1F3A5F"/>
                <w:sz w:val="22"/>
                <w:szCs w:val="22"/>
              </w:rPr>
              <w:t xml:space="preserve">Cập nhật gần nhất</w:t>
            </w:r>
          </w:p>
        </w:tc>
        <w:tc>
          <w:tcPr>
            <w:tcW w:type="pct" w:w="70%"/>
            <w:tcMar>
              <w:top w:type="dxa" w:w="60"/>
              <w:left w:type="dxa" w:w="120"/>
              <w:bottom w:type="dxa" w:w="60"/>
              <w:right w:type="dxa" w:w="120"/>
            </w:tcMar>
            <w:vAlign w:val="center"/>
          </w:tcPr>
          <w:p>
            <w:r>
              <w:rPr>
                <w:rFonts w:ascii="Times New Roman" w:cs="Times New Roman" w:eastAsia="Times New Roman" w:hAnsi="Times New Roman"/>
                <w:sz w:val="22"/>
                <w:szCs w:val="22"/>
              </w:rPr>
              <w:t xml:space="preserve">24/09/2026</w:t>
            </w:r>
          </w:p>
        </w:tc>
      </w:tr>
      <w:tr>
        <w:tc>
          <w:tcPr>
            <w:tcW w:type="pct" w:w="30%"/>
            <w:shd w:fill="F2F2F2" w:val="clear"/>
            <w:tcMar>
              <w:top w:type="dxa" w:w="60"/>
              <w:left w:type="dxa" w:w="120"/>
              <w:bottom w:type="dxa" w:w="60"/>
              <w:right w:type="dxa" w:w="120"/>
            </w:tcMar>
            <w:vAlign w:val="center"/>
          </w:tcPr>
          <w:p>
            <w:r>
              <w:rPr>
                <w:rFonts w:ascii="Times New Roman" w:cs="Times New Roman" w:eastAsia="Times New Roman" w:hAnsi="Times New Roman"/>
                <w:b/>
                <w:bCs/>
                <w:color w:val="1F3A5F"/>
                <w:sz w:val="22"/>
                <w:szCs w:val="22"/>
              </w:rPr>
              <w:t xml:space="preserve">Có hiệu lực từ</w:t>
            </w:r>
          </w:p>
        </w:tc>
        <w:tc>
          <w:tcPr>
            <w:tcW w:type="pct" w:w="70%"/>
            <w:tcMar>
              <w:top w:type="dxa" w:w="60"/>
              <w:left w:type="dxa" w:w="120"/>
              <w:bottom w:type="dxa" w:w="60"/>
              <w:right w:type="dxa" w:w="120"/>
            </w:tcMar>
            <w:vAlign w:val="center"/>
          </w:tcPr>
          <w:p>
            <w:r>
              <w:rPr>
                <w:rFonts w:ascii="Times New Roman" w:cs="Times New Roman" w:eastAsia="Times New Roman" w:hAnsi="Times New Roman"/>
                <w:sz w:val="22"/>
                <w:szCs w:val="22"/>
              </w:rPr>
              <w:t xml:space="preserve">02/09/2026</w:t>
            </w:r>
          </w:p>
        </w:tc>
      </w:tr>
    </w:tbl>
    <w:p>
      <w:pPr>
        <w:spacing w:before="200"/>
      </w:pPr>
    </w:p>
    <w:p>
      <w:pPr>
        <w:spacing w:after="100" w:before="160"/>
      </w:pPr>
      <w:r>
        <w:rPr>
          <w:rFonts w:ascii="Times New Roman" w:cs="Times New Roman" w:eastAsia="Times New Roman" w:hAnsi="Times New Roman"/>
          <w:b/>
          <w:bCs/>
          <w:i/>
          <w:iCs/>
          <w:sz w:val="26"/>
          <w:szCs w:val="26"/>
        </w:rPr>
        <w:t xml:space="preserve">Căn cứ:</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Bộ luật Dân sự và các văn bản pháp luật có liên quan;</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Luật Bảo vệ dữ liệu cá nhân số 91/2025/QH15;</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Nghị định 356/2025/NĐ-CP quy định chi tiết một số điều và biện pháp thi hành Luật Bảo vệ dữ liệu cá nhân;</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Luật An ninh mạng 2018 và các văn bản hướng dẫn thi hành;</w:t>
      </w:r>
    </w:p>
    <w:p>
      <w:pPr>
        <w:pStyle w:val="ListParagraph"/>
        <w:numPr>
          <w:ilvl w:val="0"/>
          <w:numId w:val="1"/>
        </w:numPr>
        <w:spacing w:after="120" w:line="300"/>
        <w:jc w:val="both"/>
      </w:pPr>
      <w:r>
        <w:rPr>
          <w:rFonts w:ascii="Times New Roman" w:cs="Times New Roman" w:eastAsia="Times New Roman" w:hAnsi="Times New Roman"/>
          <w:sz w:val="26"/>
          <w:szCs w:val="26"/>
        </w:rPr>
        <w:t xml:space="preserve">Nghị định 147/2024/NĐ-CP về quản lý, cung cấp, sử dụng dịch vụ Internet và thông tin trên mạng.</w:t>
      </w:r>
    </w:p>
    <w:p>
      <w:pPr>
        <w:spacing w:after="120" w:line="300"/>
        <w:jc w:val="both"/>
      </w:pPr>
      <w:r>
        <w:rPr>
          <w:rFonts w:ascii="Times New Roman" w:cs="Times New Roman" w:eastAsia="Times New Roman" w:hAnsi="Times New Roman"/>
          <w:b w:val="false"/>
          <w:bCs w:val="false"/>
          <w:i w:val="false"/>
          <w:iCs w:val="false"/>
          <w:sz w:val="26"/>
          <w:szCs w:val="26"/>
        </w:rPr>
        <w:t xml:space="preserve">Chính sách bảo mật dữ liệu cá nhân ("Chính sách") mô tả các hoạt động liên quan đến việc xử lý dữ liệu cá nhân của Người dùng khi truy cập trang web hoặc ứng dụng của Nền tảng Vịnh Câu Chuyện ("Nền tảng"). Chính sách này chỉ áp dụng cho Người dùng là cá nhân.</w:t>
      </w:r>
    </w:p>
    <w:p>
      <w:pPr>
        <w:shd w:fill="F2F2F2" w:val="clear"/>
        <w:spacing w:after="140" w:line="300"/>
        <w:ind w:left="144" w:right="144"/>
        <w:jc w:val="both"/>
      </w:pPr>
      <w:r>
        <w:rPr>
          <w:rFonts w:ascii="Times New Roman" w:cs="Times New Roman" w:eastAsia="Times New Roman" w:hAnsi="Times New Roman"/>
          <w:b/>
          <w:bCs/>
          <w:i/>
          <w:iCs/>
          <w:sz w:val="26"/>
          <w:szCs w:val="26"/>
        </w:rPr>
        <w:t xml:space="preserve">Lưu ý: </w:t>
      </w:r>
      <w:r>
        <w:rPr>
          <w:rFonts w:ascii="Times New Roman" w:cs="Times New Roman" w:eastAsia="Times New Roman" w:hAnsi="Times New Roman"/>
          <w:i/>
          <w:iCs/>
          <w:sz w:val="26"/>
          <w:szCs w:val="26"/>
        </w:rPr>
        <w:t xml:space="preserve">Nền tảng khuyến khích Người dùng đọc kỹ Chính sách này và thường xuyên kiểm tra các kênh thông tin chính thức để cập nhật mọi thay đổi mà Nền tảng có thể thực hiện.</w:t>
      </w:r>
    </w:p>
    <w:p>
      <w:pPr>
        <w:pStyle w:val="Heading1"/>
        <w:pBdr>
          <w:bottom w:val="single" w:color="9C7A32" w:sz="6" w:space="6"/>
        </w:pBdr>
        <w:spacing w:after="240" w:before="480"/>
        <w:jc w:val="center"/>
      </w:pPr>
      <w:r>
        <w:rPr>
          <w:rFonts w:ascii="Times New Roman" w:cs="Times New Roman" w:eastAsia="Times New Roman" w:hAnsi="Times New Roman"/>
          <w:b/>
          <w:bCs/>
          <w:color w:val="1F3A5F"/>
          <w:sz w:val="28"/>
          <w:szCs w:val="28"/>
        </w:rPr>
        <w:t xml:space="preserve">PHẦN I. PHẠM VI VÀ GIẢI THÍCH THUẬT NGỮ</w:t>
      </w:r>
    </w:p>
    <w:p>
      <w:pPr>
        <w:pStyle w:val="Heading2"/>
        <w:spacing w:after="140" w:before="320"/>
      </w:pPr>
      <w:r>
        <w:rPr>
          <w:rFonts w:ascii="Times New Roman" w:cs="Times New Roman" w:eastAsia="Times New Roman" w:hAnsi="Times New Roman"/>
          <w:b/>
          <w:bCs/>
          <w:color w:val="1F3A5F"/>
          <w:sz w:val="26"/>
          <w:szCs w:val="26"/>
        </w:rPr>
        <w:t xml:space="preserve">ĐIỀU 1. ĐỐI TƯỢNG VÀ PHẠM VI ÁP DỤNG</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Chính sách này điều chỉnh cách thức Nền tảng thu thập, xử lý và lưu trữ dữ liệu cá nhân của Người dùng sử dụng hoặc tương tác với sản phẩm, trang web, ứng dụng hoặc dịch vụ của Nền tảng.</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Chính sách bảo mật dữ liệu này chỉ áp dụng cho Người dùng là cá nhân.</w:t>
      </w:r>
    </w:p>
    <w:p>
      <w:pPr>
        <w:pStyle w:val="Heading2"/>
        <w:spacing w:after="140" w:before="320"/>
      </w:pPr>
      <w:r>
        <w:rPr>
          <w:rFonts w:ascii="Times New Roman" w:cs="Times New Roman" w:eastAsia="Times New Roman" w:hAnsi="Times New Roman"/>
          <w:b/>
          <w:bCs/>
          <w:color w:val="1F3A5F"/>
          <w:sz w:val="26"/>
          <w:szCs w:val="26"/>
        </w:rPr>
        <w:t xml:space="preserve">ĐIỀU 2. GIẢI THÍCH THUẬT NGỮ</w:t>
      </w:r>
    </w:p>
    <w:p>
      <w:pPr>
        <w:pStyle w:val="ListParagraph"/>
        <w:numPr>
          <w:ilvl w:val="0"/>
          <w:numId w:val="1"/>
        </w:numPr>
        <w:spacing w:after="120" w:line="300"/>
        <w:ind w:left="360" w:hanging="360"/>
        <w:jc w:val="both"/>
      </w:pPr>
      <w:r>
        <w:rPr>
          <w:rFonts w:ascii="Times New Roman" w:cs="Times New Roman" w:eastAsia="Times New Roman" w:hAnsi="Times New Roman"/>
          <w:b/>
          <w:bCs/>
          <w:color w:val="1F3A5F"/>
          <w:sz w:val="26"/>
          <w:szCs w:val="26"/>
        </w:rPr>
        <w:t xml:space="preserve">Người dùng: </w:t>
      </w:r>
      <w:r>
        <w:rPr>
          <w:rFonts w:ascii="Times New Roman" w:cs="Times New Roman" w:eastAsia="Times New Roman" w:hAnsi="Times New Roman"/>
          <w:sz w:val="26"/>
          <w:szCs w:val="26"/>
        </w:rPr>
        <w:t xml:space="preserve">cá nhân tiếp cận, tìm hiểu, đăng ký, sử dụng hoặc có liên quan đến quy trình hoạt động, cung cấp sản phẩm, dịch vụ của Nền tảng.</w:t>
      </w:r>
    </w:p>
    <w:p>
      <w:pPr>
        <w:pStyle w:val="ListParagraph"/>
        <w:numPr>
          <w:ilvl w:val="0"/>
          <w:numId w:val="1"/>
        </w:numPr>
        <w:spacing w:after="120" w:line="300"/>
        <w:ind w:left="360" w:hanging="360"/>
        <w:jc w:val="both"/>
      </w:pPr>
      <w:r>
        <w:rPr>
          <w:rFonts w:ascii="Times New Roman" w:cs="Times New Roman" w:eastAsia="Times New Roman" w:hAnsi="Times New Roman"/>
          <w:b/>
          <w:bCs/>
          <w:color w:val="1F3A5F"/>
          <w:sz w:val="26"/>
          <w:szCs w:val="26"/>
        </w:rPr>
        <w:t xml:space="preserve">Dữ liệu cá nhân: </w:t>
      </w:r>
      <w:r>
        <w:rPr>
          <w:rFonts w:ascii="Times New Roman" w:cs="Times New Roman" w:eastAsia="Times New Roman" w:hAnsi="Times New Roman"/>
          <w:sz w:val="26"/>
          <w:szCs w:val="26"/>
        </w:rPr>
        <w:t xml:space="preserve">thông tin dưới dạng ký hiệu, chữ viết, chữ số, hình ảnh, âm thanh hoặc dạng tương tự trên môi trường điện tử gắn liền với một con người cụ thể hoặc giúp xác định một con người cụ thể, bao gồm: họ, chữ đệm, tên khai sinh và tên gọi khác (nếu có); ngày, tháng, năm sinh, mất hoặc mất tích; giới tính; nơi sinh, nơi đăng ký khai sinh, nơi thường trú, nơi tạm trú, nơi ở hiện tại, quê quán, địa chỉ liên hệ; quốc tịch; hình ảnh cá nhân; số điện thoại, số CMND/CCCD, số định danh cá nhân, số hộ chiếu, số giấy phép lái xe, số biển số xe, mã số thuế cá nhân, số bảo hiểm xã hội, số thẻ bảo hiểm y tế; và các dữ liệu khác theo quy định pháp luật hiện hành.</w:t>
      </w:r>
    </w:p>
    <w:p>
      <w:pPr>
        <w:pStyle w:val="ListParagraph"/>
        <w:numPr>
          <w:ilvl w:val="0"/>
          <w:numId w:val="1"/>
        </w:numPr>
        <w:spacing w:after="120" w:line="300"/>
        <w:ind w:left="360" w:hanging="360"/>
        <w:jc w:val="both"/>
      </w:pPr>
      <w:r>
        <w:rPr>
          <w:rFonts w:ascii="Times New Roman" w:cs="Times New Roman" w:eastAsia="Times New Roman" w:hAnsi="Times New Roman"/>
          <w:b/>
          <w:bCs/>
          <w:color w:val="1F3A5F"/>
          <w:sz w:val="26"/>
          <w:szCs w:val="26"/>
        </w:rPr>
        <w:t xml:space="preserve">Xử lý dữ liệu cá nhân: </w:t>
      </w:r>
      <w:r>
        <w:rPr>
          <w:rFonts w:ascii="Times New Roman" w:cs="Times New Roman" w:eastAsia="Times New Roman" w:hAnsi="Times New Roman"/>
          <w:sz w:val="26"/>
          <w:szCs w:val="26"/>
        </w:rPr>
        <w:t xml:space="preserve">một hoặc nhiều hoạt động tác động tới dữ liệu cá nhân như thu thập, ghi, phân tích, xác nhận, lưu trữ, chỉnh sửa, công khai, kết hợp, truy cập, truy xuất, thu hồi, mã hóa, giải mã, sao chép, chia sẻ, truyền đưa, cung cấp, chuyển giao, xóa, hủy dữ liệu cá nhân hoặc các hành động khác có liên quan.</w:t>
      </w:r>
    </w:p>
    <w:p>
      <w:pPr>
        <w:pStyle w:val="ListParagraph"/>
        <w:numPr>
          <w:ilvl w:val="0"/>
          <w:numId w:val="1"/>
        </w:numPr>
        <w:spacing w:after="120" w:line="300"/>
        <w:ind w:left="360" w:hanging="360"/>
        <w:jc w:val="both"/>
      </w:pPr>
      <w:r>
        <w:rPr>
          <w:rFonts w:ascii="Times New Roman" w:cs="Times New Roman" w:eastAsia="Times New Roman" w:hAnsi="Times New Roman"/>
          <w:b/>
          <w:bCs/>
          <w:color w:val="1F3A5F"/>
          <w:sz w:val="26"/>
          <w:szCs w:val="26"/>
        </w:rPr>
        <w:t xml:space="preserve">Bên thứ ba: </w:t>
      </w:r>
      <w:r>
        <w:rPr>
          <w:rFonts w:ascii="Times New Roman" w:cs="Times New Roman" w:eastAsia="Times New Roman" w:hAnsi="Times New Roman"/>
          <w:sz w:val="26"/>
          <w:szCs w:val="26"/>
        </w:rPr>
        <w:t xml:space="preserve">tổ chức, cá nhân khác ngoài Nền tảng và Người dùng.</w:t>
      </w:r>
    </w:p>
    <w:p>
      <w:pPr>
        <w:spacing w:after="160" w:line="300"/>
        <w:jc w:val="both"/>
      </w:pPr>
      <w:r>
        <w:rPr>
          <w:rFonts w:ascii="Times New Roman" w:cs="Times New Roman" w:eastAsia="Times New Roman" w:hAnsi="Times New Roman"/>
          <w:b w:val="false"/>
          <w:bCs w:val="false"/>
          <w:i w:val="false"/>
          <w:iCs w:val="false"/>
          <w:sz w:val="26"/>
          <w:szCs w:val="26"/>
        </w:rPr>
        <w:t xml:space="preserve">Các từ ngữ chưa được giải thích tại Điều này được hiểu và áp dụng theo pháp luật Việt Nam.</w:t>
      </w:r>
    </w:p>
    <w:p>
      <w:pPr>
        <w:pStyle w:val="Heading1"/>
        <w:pBdr>
          <w:bottom w:val="single" w:color="9C7A32" w:sz="6" w:space="6"/>
        </w:pBdr>
        <w:spacing w:after="240" w:before="480"/>
        <w:jc w:val="center"/>
      </w:pPr>
      <w:r>
        <w:rPr>
          <w:rFonts w:ascii="Times New Roman" w:cs="Times New Roman" w:eastAsia="Times New Roman" w:hAnsi="Times New Roman"/>
          <w:b/>
          <w:bCs/>
          <w:color w:val="1F3A5F"/>
          <w:sz w:val="28"/>
          <w:szCs w:val="28"/>
        </w:rPr>
        <w:t xml:space="preserve">PHẦN II. THU THẬP VÀ XỬ LÝ DỮ LIỆU CÁ NHÂN</w:t>
      </w:r>
    </w:p>
    <w:p>
      <w:pPr>
        <w:pStyle w:val="Heading2"/>
        <w:spacing w:after="140" w:before="320"/>
      </w:pPr>
      <w:r>
        <w:rPr>
          <w:rFonts w:ascii="Times New Roman" w:cs="Times New Roman" w:eastAsia="Times New Roman" w:hAnsi="Times New Roman"/>
          <w:b/>
          <w:bCs/>
          <w:color w:val="1F3A5F"/>
          <w:sz w:val="26"/>
          <w:szCs w:val="26"/>
        </w:rPr>
        <w:t xml:space="preserve">ĐIỀU 3. MỤC ĐÍCH XỬ LÝ DỮ LIỆU CÁ NHÂN</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Nền tảng có thể xử lý dữ liệu cá nhân của Người dùng cho một hoặc nhiều mục đích sau:</w:t>
      </w:r>
    </w:p>
    <w:p>
      <w:pPr>
        <w:spacing w:after="100" w:line="300"/>
        <w:ind w:left="576" w:hanging="360"/>
        <w:jc w:val="both"/>
      </w:pPr>
      <w:r>
        <w:rPr>
          <w:rFonts w:ascii="Times New Roman" w:cs="Times New Roman" w:eastAsia="Times New Roman" w:hAnsi="Times New Roman"/>
          <w:sz w:val="26"/>
          <w:szCs w:val="26"/>
        </w:rPr>
        <w:t xml:space="preserve">a) Cung cấp sản phẩm hoặc dịch vụ của Nền tảng;</w:t>
      </w:r>
    </w:p>
    <w:p>
      <w:pPr>
        <w:spacing w:after="100" w:line="300"/>
        <w:ind w:left="576" w:hanging="360"/>
        <w:jc w:val="both"/>
      </w:pPr>
      <w:r>
        <w:rPr>
          <w:rFonts w:ascii="Times New Roman" w:cs="Times New Roman" w:eastAsia="Times New Roman" w:hAnsi="Times New Roman"/>
          <w:sz w:val="26"/>
          <w:szCs w:val="26"/>
        </w:rPr>
        <w:t xml:space="preserve">b) Điều chỉnh, cập nhật, bảo mật và cải tiến các sản phẩm, dịch vụ, ứng dụng mà Nền tảng đang cung cấp cho Người dùng;</w:t>
      </w:r>
    </w:p>
    <w:p>
      <w:pPr>
        <w:spacing w:after="100" w:line="300"/>
        <w:ind w:left="576" w:hanging="360"/>
        <w:jc w:val="both"/>
      </w:pPr>
      <w:r>
        <w:rPr>
          <w:rFonts w:ascii="Times New Roman" w:cs="Times New Roman" w:eastAsia="Times New Roman" w:hAnsi="Times New Roman"/>
          <w:sz w:val="26"/>
          <w:szCs w:val="26"/>
        </w:rPr>
        <w:t xml:space="preserve">c) Xác minh danh tính và bảo đảm tính bảo mật thông tin cá nhân của Người dùng;</w:t>
      </w:r>
    </w:p>
    <w:p>
      <w:pPr>
        <w:spacing w:after="100" w:line="300"/>
        <w:ind w:left="576" w:hanging="360"/>
        <w:jc w:val="both"/>
      </w:pPr>
      <w:r>
        <w:rPr>
          <w:rFonts w:ascii="Times New Roman" w:cs="Times New Roman" w:eastAsia="Times New Roman" w:hAnsi="Times New Roman"/>
          <w:sz w:val="26"/>
          <w:szCs w:val="26"/>
        </w:rPr>
        <w:t xml:space="preserve">d) Đáp ứng các yêu cầu dịch vụ và nhu cầu hỗ trợ của Người dùng;</w:t>
      </w:r>
    </w:p>
    <w:p>
      <w:pPr>
        <w:spacing w:after="100" w:line="300"/>
        <w:ind w:left="576" w:hanging="360"/>
        <w:jc w:val="both"/>
      </w:pPr>
      <w:r>
        <w:rPr>
          <w:rFonts w:ascii="Times New Roman" w:cs="Times New Roman" w:eastAsia="Times New Roman" w:hAnsi="Times New Roman"/>
          <w:sz w:val="26"/>
          <w:szCs w:val="26"/>
        </w:rPr>
        <w:t xml:space="preserve">e) Thông báo về những thay đổi đối với các chính sách, khuyến mại của sản phẩm, dịch vụ mà Nền tảng cung cấp;</w:t>
      </w:r>
    </w:p>
    <w:p>
      <w:pPr>
        <w:spacing w:after="100" w:line="300"/>
        <w:ind w:left="576" w:hanging="360"/>
        <w:jc w:val="both"/>
      </w:pPr>
      <w:r>
        <w:rPr>
          <w:rFonts w:ascii="Times New Roman" w:cs="Times New Roman" w:eastAsia="Times New Roman" w:hAnsi="Times New Roman"/>
          <w:sz w:val="26"/>
          <w:szCs w:val="26"/>
        </w:rPr>
        <w:t xml:space="preserve">f) Đo lường, phân tích dữ liệu nội bộ và các xử lý khác để cải thiện chất lượng dịch vụ/sản phẩm hoặc thực hiện hoạt động truyền thông tiếp thị;</w:t>
      </w:r>
    </w:p>
    <w:p>
      <w:pPr>
        <w:spacing w:after="100" w:line="300"/>
        <w:ind w:left="576" w:hanging="360"/>
        <w:jc w:val="both"/>
      </w:pPr>
      <w:r>
        <w:rPr>
          <w:rFonts w:ascii="Times New Roman" w:cs="Times New Roman" w:eastAsia="Times New Roman" w:hAnsi="Times New Roman"/>
          <w:sz w:val="26"/>
          <w:szCs w:val="26"/>
        </w:rPr>
        <w:t xml:space="preserve">g) Ngăn chặn và phòng chống gian lận, đánh cắp danh tính và các hoạt động bất hợp pháp khác;</w:t>
      </w:r>
    </w:p>
    <w:p>
      <w:pPr>
        <w:spacing w:after="100" w:line="300"/>
        <w:ind w:left="576" w:hanging="360"/>
        <w:jc w:val="both"/>
      </w:pPr>
      <w:r>
        <w:rPr>
          <w:rFonts w:ascii="Times New Roman" w:cs="Times New Roman" w:eastAsia="Times New Roman" w:hAnsi="Times New Roman"/>
          <w:sz w:val="26"/>
          <w:szCs w:val="26"/>
        </w:rPr>
        <w:t xml:space="preserve">h) Thiết lập, thực thi các quyền hợp pháp hoặc bảo vệ các khiếu nại pháp lý của Nền tảng, Người dùng hoặc bất kỳ cá nhân nào, kể cả việc trao đổi dữ liệu với các tổ chức khác để ngăn chặn, phát hiện gian lận và giảm rủi ro tín dụng;</w:t>
      </w:r>
    </w:p>
    <w:p>
      <w:pPr>
        <w:spacing w:after="100" w:line="300"/>
        <w:ind w:left="576" w:hanging="360"/>
        <w:jc w:val="both"/>
      </w:pPr>
      <w:r>
        <w:rPr>
          <w:rFonts w:ascii="Times New Roman" w:cs="Times New Roman" w:eastAsia="Times New Roman" w:hAnsi="Times New Roman"/>
          <w:sz w:val="26"/>
          <w:szCs w:val="26"/>
        </w:rPr>
        <w:t xml:space="preserve">i) Tuân thủ pháp luật hiện hành, các tiêu chuẩn ngành có liên quan và các chính sách hiện hành khác của Nền tảng;</w:t>
      </w:r>
    </w:p>
    <w:p>
      <w:pPr>
        <w:spacing w:after="100" w:line="300"/>
        <w:ind w:left="576" w:hanging="360"/>
        <w:jc w:val="both"/>
      </w:pPr>
      <w:r>
        <w:rPr>
          <w:rFonts w:ascii="Times New Roman" w:cs="Times New Roman" w:eastAsia="Times New Roman" w:hAnsi="Times New Roman"/>
          <w:sz w:val="26"/>
          <w:szCs w:val="26"/>
        </w:rPr>
        <w:t xml:space="preserve">j) Các mục đích khác dành riêng cho hoạt động vận hành của Nền tảng.</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Nền tảng sẽ xin phép Người dùng trước khi sử dụng dữ liệu cá nhân cho bất kỳ mục đích nào khác ngoài các mục đích nêu tại Khoản 1 Điều này, vào thời điểm thu thập dữ liệu hoặc trước khi bắt đầu xử lý liên quan, hoặc theo yêu cầu khác được pháp luật cho phép.</w:t>
      </w:r>
    </w:p>
    <w:p>
      <w:pPr>
        <w:pStyle w:val="Heading2"/>
        <w:spacing w:after="140" w:before="320"/>
      </w:pPr>
      <w:r>
        <w:rPr>
          <w:rFonts w:ascii="Times New Roman" w:cs="Times New Roman" w:eastAsia="Times New Roman" w:hAnsi="Times New Roman"/>
          <w:b/>
          <w:bCs/>
          <w:color w:val="1F3A5F"/>
          <w:sz w:val="26"/>
          <w:szCs w:val="26"/>
        </w:rPr>
        <w:t xml:space="preserve">ĐIỀU 4. BẢO MẬT DỮ LIỆU CÁ NHÂN CỦA NGƯỜI DÙNG</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Dữ liệu cá nhân của Người dùng được cam kết bảo mật tối đa theo quy định của Nền tảng và pháp luật. Việc xử lý dữ liệu cá nhân chỉ được thực hiện khi có sự đồng ý của Người dùng, trừ trường hợp pháp luật có quy định khác.</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Nền tảng không sử dụng, chuyển giao, cung cấp hay chia sẻ dữ liệu cá nhân của Người dùng cho bên thứ ba khi không có sự đồng ý của Người dùng, trừ trường hợp pháp luật có quy định khác.</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Nền tảng sử dụng nhiều công nghệ bảo mật khác nhau để bảo vệ dữ liệu cá nhân của Người dùng khỏi bị truy cập, sử dụng hoặc chia sẻ ngoài ý muốn. Tuy nhiên, không dữ liệu nào có thể được bảo mật tuyệt đối; một số hậu quả không mong muốn có thể xảy ra bao gồm nhưng không giới hạn: lỗi phần cứng, phần mềm làm mất dữ liệu; lỗ hổng bảo mật nằm ngoài khả năng kiểm soát của Nền tảng hoặc hệ thống bị tấn công gây lộ dữ liệu; hoặc Người dùng tự làm lộ dữ liệu do bất cẩn, bị lừa đảo, truy cập website hay tải ứng dụng chứa phần mềm độc hại.</w:t>
      </w:r>
    </w:p>
    <w:p>
      <w:pPr>
        <w:spacing w:after="120" w:line="300"/>
        <w:ind w:left="215" w:hanging="215"/>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Người dùng nên bảo quản thiết bị điện tử của mình và khóa, đăng xuất hoặc thoát khỏi tài khoản trên website hoặc ứng dụng của Nền tảng khi không sử dụng.</w:t>
      </w:r>
    </w:p>
    <w:p>
      <w:pPr>
        <w:pStyle w:val="Heading2"/>
        <w:spacing w:after="140" w:before="320"/>
      </w:pPr>
      <w:r>
        <w:rPr>
          <w:rFonts w:ascii="Times New Roman" w:cs="Times New Roman" w:eastAsia="Times New Roman" w:hAnsi="Times New Roman"/>
          <w:b/>
          <w:bCs/>
          <w:color w:val="1F3A5F"/>
          <w:sz w:val="26"/>
          <w:szCs w:val="26"/>
        </w:rPr>
        <w:t xml:space="preserve">ĐIỀU 5. CÁC LOẠI DỮ LIỆU CÁ NHÂN ĐƯỢC THU THẬP</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Để cung cấp sản phẩm, dịch vụ và/hoặc xử lý yêu cầu của Người dùng, Nền tảng có thể cần thu thập:</w:t>
      </w:r>
    </w:p>
    <w:p>
      <w:pPr>
        <w:spacing w:after="100" w:line="300"/>
        <w:ind w:left="576" w:hanging="360"/>
        <w:jc w:val="both"/>
      </w:pPr>
      <w:r>
        <w:rPr>
          <w:rFonts w:ascii="Times New Roman" w:cs="Times New Roman" w:eastAsia="Times New Roman" w:hAnsi="Times New Roman"/>
          <w:sz w:val="26"/>
          <w:szCs w:val="26"/>
        </w:rPr>
        <w:t xml:space="preserve">a) Dữ liệu cá nhân cơ bản của Người dùng và các cá nhân có liên quan;</w:t>
      </w:r>
    </w:p>
    <w:p>
      <w:pPr>
        <w:spacing w:after="100" w:line="300"/>
        <w:ind w:left="576" w:hanging="360"/>
        <w:jc w:val="both"/>
      </w:pPr>
      <w:r>
        <w:rPr>
          <w:rFonts w:ascii="Times New Roman" w:cs="Times New Roman" w:eastAsia="Times New Roman" w:hAnsi="Times New Roman"/>
          <w:sz w:val="26"/>
          <w:szCs w:val="26"/>
        </w:rPr>
        <w:t xml:space="preserve">b) Dữ liệu cá nhân nhạy cảm của Người dùng và các cá nhân có liên quan;</w:t>
      </w:r>
    </w:p>
    <w:p>
      <w:pPr>
        <w:spacing w:after="100" w:line="300"/>
        <w:ind w:left="576" w:hanging="360"/>
        <w:jc w:val="both"/>
      </w:pPr>
      <w:r>
        <w:rPr>
          <w:rFonts w:ascii="Times New Roman" w:cs="Times New Roman" w:eastAsia="Times New Roman" w:hAnsi="Times New Roman"/>
          <w:sz w:val="26"/>
          <w:szCs w:val="26"/>
        </w:rPr>
        <w:t xml:space="preserve">c) Dữ liệu kỹ thuật liên quan đến trang tin điện tử hoặc ứng dụng (loại thiết bị, hệ điều hành, loại và cài đặt trình duyệt, địa chỉ IP, cài đặt ngôn ngữ, ngày giờ kết nối, thống kê và cài đặt sử dụng ứng dụng, dữ liệu vị trí và thông tin liên lạc kỹ thuật khác), chi tiết đăng nhập bảo mật và dữ liệu sử dụng;</w:t>
      </w:r>
    </w:p>
    <w:p>
      <w:pPr>
        <w:spacing w:after="100" w:line="300"/>
        <w:ind w:left="576" w:hanging="360"/>
        <w:jc w:val="both"/>
      </w:pPr>
      <w:r>
        <w:rPr>
          <w:rFonts w:ascii="Times New Roman" w:cs="Times New Roman" w:eastAsia="Times New Roman" w:hAnsi="Times New Roman"/>
          <w:sz w:val="26"/>
          <w:szCs w:val="26"/>
        </w:rPr>
        <w:t xml:space="preserve">d) Dữ liệu tiếp thị: mối quan tâm đối với quảng cáo, dữ liệu cookie, dữ liệu clickstream, lịch sử sử dụng Nền tảng, phản ứng với tiếp thị trực tiếp và lựa chọn không tham gia tiếp thị trực tiếp.</w:t>
      </w:r>
    </w:p>
    <w:p>
      <w:pPr>
        <w:pStyle w:val="Heading2"/>
        <w:spacing w:after="140" w:before="320"/>
      </w:pPr>
      <w:r>
        <w:rPr>
          <w:rFonts w:ascii="Times New Roman" w:cs="Times New Roman" w:eastAsia="Times New Roman" w:hAnsi="Times New Roman"/>
          <w:b/>
          <w:bCs/>
          <w:color w:val="1F3A5F"/>
          <w:sz w:val="26"/>
          <w:szCs w:val="26"/>
        </w:rPr>
        <w:t xml:space="preserve">ĐIỀU 6. CÁCH THỨC THU THẬP DỮ LIỆU CÁ NHÂN</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Trực tiếp từ Người dùng, thông qua các phương tiện: yêu cầu đăng ký hoặc biểu mẫu liên quan đến sản phẩm, dịch vụ của Nền tảng; tương tác với nhân viên dịch vụ Người dùng qua điện thoại, thư từ, gặp mặt trực tiếp, email hoặc mạng xã hội; sử dụng trang web và ứng dụng của Nền tảng; phản hồi các đại diện tiếp thị và nhân viên dịch vụ Người dùng; hoặc khi Người dùng gửi thông tin cá nhân vì bất kỳ lý do nào khác, kể cả đăng ký dùng thử miễn phí hoặc thể hiện quan tâm đến sản phẩm, dịch vụ của Nền tảng.</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Từ các bên thứ ba khác, bao gồm: khi Người dùng tương tác với nội dung hoặc quảng cáo của bên thứ ba trên trang tin điện tử hoặc ứng dụng; khi Người dùng thanh toán điện tử qua nhà cung cấp dịch vụ thanh toán; để tuân thủ nghĩa vụ pháp luật, từ cơ quan pháp luật và cơ quan công quyền; hoặc từ các nguồn công khai (danh bạ điện thoại, thông tin quảng cáo/tờ rơi, thông tin công khai trên trang tin điện tử).</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Bất cứ khi nào thu thập dữ liệu cá nhân từ bên thứ ba, Nền tảng bảo đảm việc nhận dữ liệu theo cách hợp pháp, đồng thời yêu cầu bên thứ ba đó tuân thủ quy định pháp luật về bảo vệ dữ liệu cá nhân.</w:t>
      </w:r>
    </w:p>
    <w:p>
      <w:pPr>
        <w:pStyle w:val="Heading2"/>
        <w:spacing w:after="140" w:before="320"/>
      </w:pPr>
      <w:r>
        <w:rPr>
          <w:rFonts w:ascii="Times New Roman" w:cs="Times New Roman" w:eastAsia="Times New Roman" w:hAnsi="Times New Roman"/>
          <w:b/>
          <w:bCs/>
          <w:color w:val="1F3A5F"/>
          <w:sz w:val="26"/>
          <w:szCs w:val="26"/>
        </w:rPr>
        <w:t xml:space="preserve">ĐIỀU 7. TỔ CHỨC ĐƯỢC CHIA SẺ, CÙNG XỬ LÝ DỮ LIỆU CÁ NHÂN</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Nền tảng có thể chia sẻ hoặc cùng xử lý dữ liệu cá nhân với: nhà thầu, đại lý, đối tác, nhà cung cấp dịch vụ vận hành nhằm nâng cao trải nghiệm và tiện ích cho Người dùng; các chi nhánh, đơn vị kinh doanh và nhân viên làm việc tại các chi nhánh, đại lý của Nền tảng; doanh nghiệp viễn thông trong trường hợp Người dùng vi phạm nghĩa vụ thanh toán cước dịch vụ; các cố vấn chuyên nghiệp như kiểm toán, luật sư theo quy định pháp luật; và Tòa án, cơ quan nhà nước có thẩm quyền phù hợp với quy định pháp luật và/hoặc khi được yêu cầu hợp pháp.</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Việc chia sẻ hoặc cùng xử lý dữ liệu cá nhân chỉ thực hiện trong phạm vi cần thiết cho các mục đích xử lý nêu tại Chính sách này hoặc theo quy định pháp luật. Tổ chức, cá nhân nhận dữ liệu cá nhân của Người dùng phải tuân thủ Chính sách này và quy định pháp luật về bảo vệ dữ liệu cá nhân liên quan. Nền tảng sẽ nỗ lực bảo đảm thông tin Người dùng được ẩn danh/mã hóa, song không thể loại trừ hoàn toàn rủi ro dữ liệu bị tiết lộ trong trường hợp bất khả kháng.</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Trường hợp có sự tham gia của các tổ chức xử lý dữ liệu cá nhân khác nêu tại Điều này, Nền tảng sẽ thông báo cho Người dùng trước khi thực hiện.</w:t>
      </w:r>
    </w:p>
    <w:p>
      <w:pPr>
        <w:pStyle w:val="Heading1"/>
        <w:pBdr>
          <w:bottom w:val="single" w:color="9C7A32" w:sz="6" w:space="6"/>
        </w:pBdr>
        <w:spacing w:after="240" w:before="480"/>
        <w:jc w:val="center"/>
      </w:pPr>
      <w:r>
        <w:rPr>
          <w:rFonts w:ascii="Times New Roman" w:cs="Times New Roman" w:eastAsia="Times New Roman" w:hAnsi="Times New Roman"/>
          <w:b/>
          <w:bCs/>
          <w:color w:val="1F3A5F"/>
          <w:sz w:val="28"/>
          <w:szCs w:val="28"/>
        </w:rPr>
        <w:t xml:space="preserve">PHẦN III. QUYỀN, NGHĨA VỤ VÀ LƯU TRỮ DỮ LIỆU</w:t>
      </w:r>
    </w:p>
    <w:p>
      <w:pPr>
        <w:pStyle w:val="Heading2"/>
        <w:spacing w:after="140" w:before="320"/>
      </w:pPr>
      <w:r>
        <w:rPr>
          <w:rFonts w:ascii="Times New Roman" w:cs="Times New Roman" w:eastAsia="Times New Roman" w:hAnsi="Times New Roman"/>
          <w:b/>
          <w:bCs/>
          <w:color w:val="1F3A5F"/>
          <w:sz w:val="26"/>
          <w:szCs w:val="26"/>
        </w:rPr>
        <w:t xml:space="preserve">ĐIỀU 8. QUYỀN VÀ NGHĨA VỤ CỦA NGƯỜI DÙNG</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Người dùng có quyền được biết về hoạt động xử lý dữ liệu cá nhân của mình, trừ trường hợp pháp luật có quy định khác, bao gồm quyền:</w:t>
      </w:r>
    </w:p>
    <w:p>
      <w:pPr>
        <w:spacing w:after="100" w:line="300"/>
        <w:ind w:left="576" w:hanging="360"/>
        <w:jc w:val="both"/>
      </w:pPr>
      <w:r>
        <w:rPr>
          <w:rFonts w:ascii="Times New Roman" w:cs="Times New Roman" w:eastAsia="Times New Roman" w:hAnsi="Times New Roman"/>
          <w:sz w:val="26"/>
          <w:szCs w:val="26"/>
        </w:rPr>
        <w:t xml:space="preserve">a) Đồng ý hoặc không đồng ý cho phép xử lý dữ liệu cá nhân của mình, trừ trường hợp luật có quy định khác;</w:t>
      </w:r>
    </w:p>
    <w:p>
      <w:pPr>
        <w:spacing w:after="100" w:line="300"/>
        <w:ind w:left="576" w:hanging="360"/>
        <w:jc w:val="both"/>
      </w:pPr>
      <w:r>
        <w:rPr>
          <w:rFonts w:ascii="Times New Roman" w:cs="Times New Roman" w:eastAsia="Times New Roman" w:hAnsi="Times New Roman"/>
          <w:sz w:val="26"/>
          <w:szCs w:val="26"/>
        </w:rPr>
        <w:t xml:space="preserve">b) Truy cập để xem, chỉnh sửa hoặc yêu cầu chỉnh sửa dữ liệu cá nhân của mình, trừ trường hợp luật có quy định khác;</w:t>
      </w:r>
    </w:p>
    <w:p>
      <w:pPr>
        <w:spacing w:after="100" w:line="300"/>
        <w:ind w:left="576" w:hanging="360"/>
        <w:jc w:val="both"/>
      </w:pPr>
      <w:r>
        <w:rPr>
          <w:rFonts w:ascii="Times New Roman" w:cs="Times New Roman" w:eastAsia="Times New Roman" w:hAnsi="Times New Roman"/>
          <w:sz w:val="26"/>
          <w:szCs w:val="26"/>
        </w:rPr>
        <w:t xml:space="preserve">c) Rút lại sự đồng ý, không ảnh hưởng đến tính hợp pháp của việc xử lý dữ liệu đã đồng ý trước khi rút lại;</w:t>
      </w:r>
    </w:p>
    <w:p>
      <w:pPr>
        <w:spacing w:after="100" w:line="300"/>
        <w:ind w:left="576" w:hanging="360"/>
        <w:jc w:val="both"/>
      </w:pPr>
      <w:r>
        <w:rPr>
          <w:rFonts w:ascii="Times New Roman" w:cs="Times New Roman" w:eastAsia="Times New Roman" w:hAnsi="Times New Roman"/>
          <w:sz w:val="26"/>
          <w:szCs w:val="26"/>
        </w:rPr>
        <w:t xml:space="preserve">d) Xóa hoặc yêu cầu xóa dữ liệu cá nhân của mình, trừ trường hợp luật có quy định khác;</w:t>
      </w:r>
    </w:p>
    <w:p>
      <w:pPr>
        <w:spacing w:after="100" w:line="300"/>
        <w:ind w:left="576" w:hanging="360"/>
        <w:jc w:val="both"/>
      </w:pPr>
      <w:r>
        <w:rPr>
          <w:rFonts w:ascii="Times New Roman" w:cs="Times New Roman" w:eastAsia="Times New Roman" w:hAnsi="Times New Roman"/>
          <w:sz w:val="26"/>
          <w:szCs w:val="26"/>
        </w:rPr>
        <w:t xml:space="preserve">e) Yêu cầu Nền tảng cung cấp cho bản thân dữ liệu cá nhân của mình, trừ trường hợp luật có quy định khác;</w:t>
      </w:r>
    </w:p>
    <w:p>
      <w:pPr>
        <w:spacing w:after="100" w:line="300"/>
        <w:ind w:left="576" w:hanging="360"/>
        <w:jc w:val="both"/>
      </w:pPr>
      <w:r>
        <w:rPr>
          <w:rFonts w:ascii="Times New Roman" w:cs="Times New Roman" w:eastAsia="Times New Roman" w:hAnsi="Times New Roman"/>
          <w:sz w:val="26"/>
          <w:szCs w:val="26"/>
        </w:rPr>
        <w:t xml:space="preserve">f) Tự bảo vệ theo quy định Bộ luật Dân sự, luật khác có liên quan, hoặc yêu cầu cơ quan, tổ chức có thẩm quyền áp dụng các phương thức bảo vệ quyền dân sự theo Điều 11 Bộ luật Dân sự;</w:t>
      </w:r>
    </w:p>
    <w:p>
      <w:pPr>
        <w:spacing w:after="100" w:line="300"/>
        <w:ind w:left="576" w:hanging="360"/>
        <w:jc w:val="both"/>
      </w:pPr>
      <w:r>
        <w:rPr>
          <w:rFonts w:ascii="Times New Roman" w:cs="Times New Roman" w:eastAsia="Times New Roman" w:hAnsi="Times New Roman"/>
          <w:sz w:val="26"/>
          <w:szCs w:val="26"/>
        </w:rPr>
        <w:t xml:space="preserve">g) Các quyền khác theo quy định pháp luật hiện hành.</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Người dùng có nghĩa vụ: tuân thủ pháp luật, quy định, hướng dẫn của cơ quan có thẩm quyền liên quan đến xử lý dữ liệu cá nhân; cung cấp đầy đủ, trung thực, chính xác dữ liệu cá nhân khi đăng ký, sử dụng dịch vụ và khi có thay đổi thông tin — Nền tảng sẽ không chịu trách nhiệm nếu thông tin sai lệch ảnh hưởng đến quyền lợi của Người dùng do lỗi cung cấp thông tin của chính Người dùng; phối hợp với Nền tảng, cơ quan nhà nước có thẩm quyền hoặc bên thứ ba khi phát sinh vấn đề ảnh hưởng đến bảo mật dữ liệu cá nhân; tự bảo vệ và chủ động áp dụng biện pháp bảo vệ dữ liệu cá nhân của mình, thông báo kịp thời cho Nền tảng khi phát hiện sai sót hoặc nghi ngờ dữ liệu bị xâm phạm; tự chịu trách nhiệm đối với thông tin, dữ liệu, chấp thuận do mình tạo lập, cung cấp trên môi trường mạng; thường xuyên cập nhật các quy định, chính sách của Nền tảng và thực hiện hành động thể hiện rõ việc chấp thuận hoặc không chấp thuận đối với các mục đích xử lý dữ liệu được thông báo; tôn trọng, bảo vệ dữ liệu cá nhân của người khác; và các trách nhiệm khác theo quy định pháp luật.</w:t>
      </w:r>
    </w:p>
    <w:p>
      <w:pPr>
        <w:pStyle w:val="Heading2"/>
        <w:spacing w:after="140" w:before="320"/>
      </w:pPr>
      <w:r>
        <w:rPr>
          <w:rFonts w:ascii="Times New Roman" w:cs="Times New Roman" w:eastAsia="Times New Roman" w:hAnsi="Times New Roman"/>
          <w:b/>
          <w:bCs/>
          <w:color w:val="1F3A5F"/>
          <w:sz w:val="26"/>
          <w:szCs w:val="26"/>
        </w:rPr>
        <w:t xml:space="preserve">ĐIỀU 9. LƯU TRỮ DỮ LIỆU CÁ NHÂN</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Nền tảng cam kết chỉ lưu trữ dữ liệu cá nhân của Người dùng trong phạm vi liên quan đến các mục đích nêu tại Chính sách này, và có thể cần lưu trữ dữ liệu trong một giai đoạn thời gian nhất định khi pháp luật hiện hành yêu cầu.</w:t>
      </w:r>
    </w:p>
    <w:p>
      <w:pPr>
        <w:pStyle w:val="Heading2"/>
        <w:spacing w:after="140" w:before="320"/>
      </w:pPr>
      <w:r>
        <w:rPr>
          <w:rFonts w:ascii="Times New Roman" w:cs="Times New Roman" w:eastAsia="Times New Roman" w:hAnsi="Times New Roman"/>
          <w:b/>
          <w:bCs/>
          <w:color w:val="1F3A5F"/>
          <w:sz w:val="26"/>
          <w:szCs w:val="26"/>
        </w:rPr>
        <w:t xml:space="preserve">ĐIỀU 10. XỬ LÝ DỮ LIỆU CÁ NHÂN CÓ YẾU TỐ NƯỚC NGOÀI</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Để thực hiện mục đích xử lý dữ liệu cá nhân tại Chính sách này, Nền tảng có thể cung cấp/chia sẻ dữ liệu cá nhân của Người dùng cho các bên thứ ba tại Việt Nam hoặc ngoài lãnh thổ Việt Nam.</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Khi chuyển dữ liệu cá nhân ra nước ngoài, Nền tảng yêu cầu bên tiếp nhận bảo đảm dữ liệu được bảo mật và an toàn, đồng thời tuân thủ các nghĩa vụ pháp lý liên quan đến việc chuyển giao dữ liệu cá nhân.</w:t>
      </w:r>
    </w:p>
    <w:p>
      <w:pPr>
        <w:pStyle w:val="Heading2"/>
        <w:spacing w:after="140" w:before="320"/>
      </w:pPr>
      <w:r>
        <w:rPr>
          <w:rFonts w:ascii="Times New Roman" w:cs="Times New Roman" w:eastAsia="Times New Roman" w:hAnsi="Times New Roman"/>
          <w:b/>
          <w:bCs/>
          <w:color w:val="1F3A5F"/>
          <w:sz w:val="26"/>
          <w:szCs w:val="26"/>
        </w:rPr>
        <w:t xml:space="preserve">ĐIỀU 11. COOKIES</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Khi Người dùng sử dụng hoặc truy cập trang tin điện tử, Nền tảng có thể đặt một hoặc nhiều cookie trên thiết bị của Người dùng để ghi lại thông tin về thiết bị, trình duyệt và trong một số trường hợp, sở thích, thói quen duyệt web của Người dùng, nhằm nhận diện Người dùng khi quay lại, cung cấp dịch vụ cá nhân hóa, biên soạn số liệu phân tích và cải thiện trang tin điện tử. Người dùng có thể xóa hoặc chặn cookie qua cài đặt trình duyệt, nhưng khi đó có thể không sử dụng được toàn bộ tính năng của trang tin điện tử.</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Nền tảng có thể xử lý thông tin cá nhân của Người dùng thông qua công nghệ cookie và sử dụng biện pháp tiếp thị lại để phân phát quảng cáo cho những cá nhân đã từng truy cập trang tin điện tử của mình.</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Trong phạm vi các bên thứ ba đã gắn nội dung lên trang tin điện tử, các bên thứ ba đó có thể thu thập thông tin cá nhân của Người dùng nếu Người dùng chọn tương tác với nội dung hoặc dịch vụ của bên thứ ba đó.</w:t>
      </w:r>
    </w:p>
    <w:p>
      <w:pPr>
        <w:pStyle w:val="Heading2"/>
        <w:spacing w:after="140" w:before="320"/>
      </w:pPr>
      <w:r>
        <w:rPr>
          <w:rFonts w:ascii="Times New Roman" w:cs="Times New Roman" w:eastAsia="Times New Roman" w:hAnsi="Times New Roman"/>
          <w:b/>
          <w:bCs/>
          <w:color w:val="1F3A5F"/>
          <w:sz w:val="26"/>
          <w:szCs w:val="26"/>
        </w:rPr>
        <w:t xml:space="preserve">ĐIỀU 12. THÔNG TIN LIÊN HỆ</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Trường hợp có câu hỏi liên quan đến Chính sách này hoặc các vấn đề liên quan đến quyền của chủ thể dữ liệu, Người dùng có thể liên hệ qua email admin của Nền tảng hoặc nhắn tin cho Fanpage chính thức.</w:t>
      </w:r>
    </w:p>
    <w:p>
      <w:pPr>
        <w:pStyle w:val="Heading1"/>
        <w:pBdr>
          <w:bottom w:val="single" w:color="9C7A32" w:sz="6" w:space="6"/>
        </w:pBdr>
        <w:spacing w:after="240" w:before="480"/>
        <w:jc w:val="center"/>
      </w:pPr>
      <w:r>
        <w:rPr>
          <w:rFonts w:ascii="Times New Roman" w:cs="Times New Roman" w:eastAsia="Times New Roman" w:hAnsi="Times New Roman"/>
          <w:b/>
          <w:bCs/>
          <w:color w:val="1F3A5F"/>
          <w:sz w:val="28"/>
          <w:szCs w:val="28"/>
        </w:rPr>
        <w:t xml:space="preserve">PHẦN IV. ĐIỀU KHOẢN CHUNG</w:t>
      </w:r>
    </w:p>
    <w:p>
      <w:pPr>
        <w:pStyle w:val="Heading2"/>
        <w:spacing w:after="140" w:before="320"/>
      </w:pPr>
      <w:r>
        <w:rPr>
          <w:rFonts w:ascii="Times New Roman" w:cs="Times New Roman" w:eastAsia="Times New Roman" w:hAnsi="Times New Roman"/>
          <w:b/>
          <w:bCs/>
          <w:color w:val="1F3A5F"/>
          <w:sz w:val="26"/>
          <w:szCs w:val="26"/>
        </w:rPr>
        <w:t xml:space="preserve">ĐIỀU 13. HIỆU LỰC, SỬA ĐỔI VÀ GIẢI QUYẾT TRANH CHẤP</w:t>
      </w:r>
    </w:p>
    <w:p>
      <w:pPr>
        <w:spacing w:after="120" w:line="300"/>
        <w:ind w:left="215" w:hanging="215"/>
        <w:jc w:val="both"/>
      </w:pPr>
      <w:r>
        <w:rPr>
          <w:rFonts w:ascii="Times New Roman" w:cs="Times New Roman" w:eastAsia="Times New Roman" w:hAnsi="Times New Roman"/>
          <w:b/>
          <w:bCs/>
          <w:sz w:val="26"/>
          <w:szCs w:val="26"/>
        </w:rPr>
        <w:t xml:space="preserve">1. </w:t>
      </w:r>
      <w:r>
        <w:rPr>
          <w:rFonts w:ascii="Times New Roman" w:cs="Times New Roman" w:eastAsia="Times New Roman" w:hAnsi="Times New Roman"/>
          <w:sz w:val="26"/>
          <w:szCs w:val="26"/>
        </w:rPr>
        <w:t xml:space="preserve">Chính sách này có hiệu lực từ ngày 02/09/2026. Chính sách có thể được sửa đổi theo từng thời kỳ và sẽ được thông báo tới Người dùng qua các kênh giao dịch của Nền tảng trước khi áp dụng.</w:t>
      </w:r>
    </w:p>
    <w:p>
      <w:pPr>
        <w:shd w:fill="F2F2F2" w:val="clear"/>
        <w:spacing w:after="140" w:line="300"/>
        <w:ind w:left="144" w:right="144"/>
        <w:jc w:val="both"/>
      </w:pPr>
      <w:r>
        <w:rPr>
          <w:rFonts w:ascii="Times New Roman" w:cs="Times New Roman" w:eastAsia="Times New Roman" w:hAnsi="Times New Roman"/>
          <w:b/>
          <w:bCs/>
          <w:i/>
          <w:iCs/>
          <w:sz w:val="26"/>
          <w:szCs w:val="26"/>
        </w:rPr>
        <w:t xml:space="preserve">Lưu ý: </w:t>
      </w:r>
      <w:r>
        <w:rPr>
          <w:rFonts w:ascii="Times New Roman" w:cs="Times New Roman" w:eastAsia="Times New Roman" w:hAnsi="Times New Roman"/>
          <w:i/>
          <w:iCs/>
          <w:sz w:val="26"/>
          <w:szCs w:val="26"/>
        </w:rPr>
        <w:t xml:space="preserve">Việc Người dùng tiếp tục sử dụng dịch vụ sau thời hạn thông báo về nội dung sửa đổi, bổ sung đồng nghĩa với việc Người dùng đã chấp nhận các nội dung đó.</w:t>
      </w:r>
    </w:p>
    <w:p>
      <w:pPr>
        <w:spacing w:after="120" w:line="300"/>
        <w:ind w:left="215" w:hanging="215"/>
        <w:jc w:val="both"/>
      </w:pPr>
      <w:r>
        <w:rPr>
          <w:rFonts w:ascii="Times New Roman" w:cs="Times New Roman" w:eastAsia="Times New Roman" w:hAnsi="Times New Roman"/>
          <w:b/>
          <w:bCs/>
          <w:sz w:val="26"/>
          <w:szCs w:val="26"/>
        </w:rPr>
        <w:t xml:space="preserve">2. </w:t>
      </w:r>
      <w:r>
        <w:rPr>
          <w:rFonts w:ascii="Times New Roman" w:cs="Times New Roman" w:eastAsia="Times New Roman" w:hAnsi="Times New Roman"/>
          <w:sz w:val="26"/>
          <w:szCs w:val="26"/>
        </w:rPr>
        <w:t xml:space="preserve">Người dùng cam kết thực hiện nghiêm túc Chính sách này. Các vấn đề chưa được quy định sẽ thực hiện theo quy định pháp luật, hướng dẫn của cơ quan nhà nước có thẩm quyền và/hoặc các sửa đổi, bổ sung Chính sách được thông báo trong từng thời kỳ.</w:t>
      </w:r>
    </w:p>
    <w:p>
      <w:pPr>
        <w:spacing w:after="120" w:line="300"/>
        <w:ind w:left="215" w:hanging="215"/>
        <w:jc w:val="both"/>
      </w:pPr>
      <w:r>
        <w:rPr>
          <w:rFonts w:ascii="Times New Roman" w:cs="Times New Roman" w:eastAsia="Times New Roman" w:hAnsi="Times New Roman"/>
          <w:b/>
          <w:bCs/>
          <w:sz w:val="26"/>
          <w:szCs w:val="26"/>
        </w:rPr>
        <w:t xml:space="preserve">3. </w:t>
      </w:r>
      <w:r>
        <w:rPr>
          <w:rFonts w:ascii="Times New Roman" w:cs="Times New Roman" w:eastAsia="Times New Roman" w:hAnsi="Times New Roman"/>
          <w:sz w:val="26"/>
          <w:szCs w:val="26"/>
        </w:rPr>
        <w:t xml:space="preserve">Người dùng có thể thấy quảng cáo hoặc nội dung liên kết đến các trang tin điện tử, ứng dụng hoặc dịch vụ của đối tác, nhà quảng cáo, nhà tài trợ hoặc bên thứ ba khác. Nền tảng không kiểm soát và không chịu trách nhiệm đối với nội dung hoặc hoạt động của các trang tin điện tử, dịch vụ bên thứ ba đó; các bên thứ ba này có thể áp dụng chính sách bảo mật và điều khoản sử dụng riêng.</w:t>
      </w:r>
    </w:p>
    <w:p>
      <w:pPr>
        <w:spacing w:after="120" w:line="300"/>
        <w:ind w:left="215" w:hanging="215"/>
        <w:jc w:val="both"/>
      </w:pPr>
      <w:r>
        <w:rPr>
          <w:rFonts w:ascii="Times New Roman" w:cs="Times New Roman" w:eastAsia="Times New Roman" w:hAnsi="Times New Roman"/>
          <w:b/>
          <w:bCs/>
          <w:sz w:val="26"/>
          <w:szCs w:val="26"/>
        </w:rPr>
        <w:t xml:space="preserve">4. </w:t>
      </w:r>
      <w:r>
        <w:rPr>
          <w:rFonts w:ascii="Times New Roman" w:cs="Times New Roman" w:eastAsia="Times New Roman" w:hAnsi="Times New Roman"/>
          <w:sz w:val="26"/>
          <w:szCs w:val="26"/>
        </w:rPr>
        <w:t xml:space="preserve">Chính sách này được giao kết trên cơ sở thiện chí giữa Nền tảng và Người dùng. Tranh chấp phát sinh trước hết được giải quyết thông qua thương lượng, hòa giải; trường hợp hòa giải không thành, tranh chấp sẽ được đưa ra Tòa án nhân dân có thẩm quyền để giải quyết theo quy định pháp luật.</w:t>
      </w:r>
    </w:p>
    <w:sectPr>
      <w:headerReference w:type="default" r:id="rId7"/>
      <w:footerReference w:type="default" r:id="rId8"/>
      <w:pgSz w:w="11907" w:h="16840"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jc w:val="center"/>
    </w:pPr>
    <w:r>
      <w:rPr>
        <w:rFonts w:ascii="Times New Roman" w:cs="Times New Roman" w:eastAsia="Times New Roman" w:hAnsi="Times New Roman"/>
        <w:color w:val="595959"/>
        <w:sz w:val="18"/>
        <w:szCs w:val="18"/>
      </w:rPr>
      <w:t xml:space="preserve">VINH-CSBM-01 · Trang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Times New Roman" w:cs="Times New Roman" w:eastAsia="Times New Roman" w:hAnsi="Times New Roman"/>
        <w:i/>
        <w:iCs/>
        <w:color w:val="595959"/>
        <w:sz w:val="18"/>
        <w:szCs w:val="18"/>
      </w:rPr>
      <w:t xml:space="preserve">Chính sách bảo mật — Vịnh Câu Chuyện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Times New Roman" w:cs="Times New Roman" w:eastAsia="Times New Roman" w:hAnsi="Times New Roman"/>
      <w:b/>
      <w:bCs/>
      <w:color w:val="1F3A5F"/>
      <w:sz w:val="28"/>
      <w:szCs w:val="28"/>
    </w:rPr>
  </w:style>
  <w:style w:type="paragraph" w:styleId="Heading2">
    <w:name w:val="Heading 2"/>
    <w:basedOn w:val="Normal"/>
    <w:next w:val="Normal"/>
    <w:qFormat/>
    <w:rPr>
      <w:rFonts w:ascii="Times New Roman" w:cs="Times New Roman" w:eastAsia="Times New Roman" w:hAnsi="Times New Roman"/>
      <w:b/>
      <w:bCs/>
      <w:color w:val="1F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2026-09-03T03:00:48.363Z</dcterms:created>
  <dcterms:modified xsi:type="dcterms:W3CDTF">2026-09-03T03:00:48.363Z</dcterms:modified>
</cp:coreProperties>
</file>

<file path=docProps/custom.xml><?xml version="1.0" encoding="utf-8"?>
<Properties xmlns="http://schemas.openxmlformats.org/officeDocument/2006/custom-properties" xmlns:vt="http://schemas.openxmlformats.org/officeDocument/2006/docPropsVTypes"/>
</file>