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BÁO CÁO CÀI ĐẶT VÀ ĐÍNH KÈM MÃ NGUỒN</w:t>
      </w:r>
    </w:p>
    <w:p>
      <w:pPr>
        <w:jc w:val="center"/>
      </w:pPr>
      <w:r>
        <w:rPr>
          <w:rFonts w:ascii="Arial" w:hAnsi="Arial"/>
          <w:i/>
          <w:sz w:val="21"/>
        </w:rPr>
        <w:t>Bổ sung cho YC2 - Dự án phần mềm tính tiền dạy</w:t>
      </w:r>
    </w:p>
    <w:p/>
    <w:p>
      <w:pPr>
        <w:pStyle w:val="Heading1"/>
      </w:pPr>
      <w:r>
        <w:t>1. Mục tiêu</w:t>
      </w:r>
    </w:p>
    <w:p>
      <w:r>
        <w:t>Tài liệu này bổ sung phần còn thiếu của YC2: mô tả cấu trúc mã nguồn, cách cài đặt, cách chạy ứng dụng, cách chạy unit test/coverage và cách đóng gói khi nộp.</w:t>
      </w:r>
    </w:p>
    <w:p>
      <w:pPr>
        <w:pStyle w:val="Heading1"/>
      </w:pPr>
      <w:r>
        <w:t>2. Cấu trúc mã nguồn đính kèm</w:t>
      </w:r>
    </w:p>
    <w:tbl>
      <w:tblPr>
        <w:tblStyle w:val="TableGrid"/>
        <w:tblW w:type="auto" w:w="0"/>
        <w:jc w:val="center"/>
        <w:tblLook w:firstColumn="1" w:firstRow="1" w:lastColumn="0" w:lastRow="0" w:noHBand="0" w:noVBand="1" w:val="04A0"/>
      </w:tblPr>
      <w:tblGrid>
        <w:gridCol w:w="5112"/>
        <w:gridCol w:w="5112"/>
      </w:tblGrid>
      <w:tr>
        <w:tc>
          <w:tcPr>
            <w:tcW w:type="dxa" w:w="3888"/>
            <w:vAlign w:val="center"/>
            <w:shd w:fill="1F4E79"/>
          </w:tcPr>
          <w:p>
            <w:pPr>
              <w:spacing w:after="40"/>
            </w:pPr>
            <w:r>
              <w:rPr>
                <w:rFonts w:ascii="Arial" w:hAnsi="Arial"/>
                <w:b/>
                <w:color w:val="FFFFFF"/>
                <w:sz w:val="18"/>
              </w:rPr>
              <w:t>Đường dẫn</w:t>
            </w:r>
          </w:p>
        </w:tc>
        <w:tc>
          <w:tcPr>
            <w:tcW w:type="dxa" w:w="6624"/>
            <w:vAlign w:val="center"/>
            <w:shd w:fill="1F4E79"/>
          </w:tcPr>
          <w:p>
            <w:pPr>
              <w:spacing w:after="40"/>
            </w:pPr>
            <w:r>
              <w:rPr>
                <w:rFonts w:ascii="Arial" w:hAnsi="Arial"/>
                <w:b/>
                <w:color w:val="FFFFFF"/>
                <w:sz w:val="18"/>
              </w:rPr>
              <w:t>Mục đích</w:t>
            </w:r>
          </w:p>
        </w:tc>
      </w:tr>
      <w:tr>
        <w:tc>
          <w:tcPr>
            <w:tcW w:type="dxa" w:w="3888"/>
            <w:vAlign w:val="center"/>
          </w:tcPr>
          <w:p>
            <w:pPr>
              <w:spacing w:after="40"/>
            </w:pPr>
            <w:r>
              <w:rPr>
                <w:rFonts w:ascii="Arial" w:hAnsi="Arial"/>
                <w:sz w:val="18"/>
              </w:rPr>
              <w:t>source/teacher-payroll-app/src/lib/payroll.ts</w:t>
            </w:r>
          </w:p>
        </w:tc>
        <w:tc>
          <w:tcPr>
            <w:tcW w:type="dxa" w:w="6624"/>
            <w:vAlign w:val="center"/>
          </w:tcPr>
          <w:p>
            <w:pPr>
              <w:spacing w:after="40"/>
            </w:pPr>
            <w:r>
              <w:rPr>
                <w:rFonts w:ascii="Arial" w:hAnsi="Arial"/>
                <w:sz w:val="18"/>
              </w:rPr>
              <w:t>Module nghiệp vụ: công thức tính tiết quy đổi, tiền dạy, validate dữ liệu, sinh mã.</w:t>
            </w:r>
          </w:p>
        </w:tc>
      </w:tr>
      <w:tr>
        <w:tc>
          <w:tcPr>
            <w:tcW w:type="dxa" w:w="3888"/>
            <w:vAlign w:val="center"/>
          </w:tcPr>
          <w:p>
            <w:pPr>
              <w:spacing w:after="40"/>
            </w:pPr>
            <w:r>
              <w:rPr>
                <w:rFonts w:ascii="Arial" w:hAnsi="Arial"/>
                <w:sz w:val="18"/>
              </w:rPr>
              <w:t>source/teacher-payroll-app/src/lib/sample-data.ts</w:t>
            </w:r>
          </w:p>
        </w:tc>
        <w:tc>
          <w:tcPr>
            <w:tcW w:type="dxa" w:w="6624"/>
            <w:vAlign w:val="center"/>
          </w:tcPr>
          <w:p>
            <w:pPr>
              <w:spacing w:after="40"/>
            </w:pPr>
            <w:r>
              <w:rPr>
                <w:rFonts w:ascii="Arial" w:hAnsi="Arial"/>
                <w:sz w:val="18"/>
              </w:rPr>
              <w:t>Dữ liệu mẫu giáo viên và phân công lớp học phần.</w:t>
            </w:r>
          </w:p>
        </w:tc>
      </w:tr>
      <w:tr>
        <w:tc>
          <w:tcPr>
            <w:tcW w:type="dxa" w:w="3888"/>
            <w:vAlign w:val="center"/>
          </w:tcPr>
          <w:p>
            <w:pPr>
              <w:spacing w:after="40"/>
            </w:pPr>
            <w:r>
              <w:rPr>
                <w:rFonts w:ascii="Arial" w:hAnsi="Arial"/>
                <w:sz w:val="18"/>
              </w:rPr>
              <w:t>source/teacher-payroll-app/src/app/page.tsx</w:t>
            </w:r>
          </w:p>
        </w:tc>
        <w:tc>
          <w:tcPr>
            <w:tcW w:type="dxa" w:w="6624"/>
            <w:vAlign w:val="center"/>
          </w:tcPr>
          <w:p>
            <w:pPr>
              <w:spacing w:after="40"/>
            </w:pPr>
            <w:r>
              <w:rPr>
                <w:rFonts w:ascii="Arial" w:hAnsi="Arial"/>
                <w:sz w:val="18"/>
              </w:rPr>
              <w:t>Giao diện demo form tính tiền.</w:t>
            </w:r>
          </w:p>
        </w:tc>
      </w:tr>
      <w:tr>
        <w:tc>
          <w:tcPr>
            <w:tcW w:type="dxa" w:w="3888"/>
            <w:vAlign w:val="center"/>
          </w:tcPr>
          <w:p>
            <w:pPr>
              <w:spacing w:after="40"/>
            </w:pPr>
            <w:r>
              <w:rPr>
                <w:rFonts w:ascii="Arial" w:hAnsi="Arial"/>
                <w:sz w:val="18"/>
              </w:rPr>
              <w:t>source/teacher-payroll-app/src/app/api/payroll/route.ts</w:t>
            </w:r>
          </w:p>
        </w:tc>
        <w:tc>
          <w:tcPr>
            <w:tcW w:type="dxa" w:w="6624"/>
            <w:vAlign w:val="center"/>
          </w:tcPr>
          <w:p>
            <w:pPr>
              <w:spacing w:after="40"/>
            </w:pPr>
            <w:r>
              <w:rPr>
                <w:rFonts w:ascii="Arial" w:hAnsi="Arial"/>
                <w:sz w:val="18"/>
              </w:rPr>
              <w:t>API GET/POST phục vụ tính tiền và lấy bảng lương theo giáo viên/kỳ.</w:t>
            </w:r>
          </w:p>
        </w:tc>
      </w:tr>
      <w:tr>
        <w:tc>
          <w:tcPr>
            <w:tcW w:type="dxa" w:w="3888"/>
            <w:vAlign w:val="center"/>
          </w:tcPr>
          <w:p>
            <w:pPr>
              <w:spacing w:after="40"/>
            </w:pPr>
            <w:r>
              <w:rPr>
                <w:rFonts w:ascii="Arial" w:hAnsi="Arial"/>
                <w:sz w:val="18"/>
              </w:rPr>
              <w:t>source/teacher-payroll-app/src/app/api/teachers/route.ts</w:t>
            </w:r>
          </w:p>
        </w:tc>
        <w:tc>
          <w:tcPr>
            <w:tcW w:type="dxa" w:w="6624"/>
            <w:vAlign w:val="center"/>
          </w:tcPr>
          <w:p>
            <w:pPr>
              <w:spacing w:after="40"/>
            </w:pPr>
            <w:r>
              <w:rPr>
                <w:rFonts w:ascii="Arial" w:hAnsi="Arial"/>
                <w:sz w:val="18"/>
              </w:rPr>
              <w:t>API danh sách giáo viên mẫu.</w:t>
            </w:r>
          </w:p>
        </w:tc>
      </w:tr>
      <w:tr>
        <w:tc>
          <w:tcPr>
            <w:tcW w:type="dxa" w:w="3888"/>
            <w:vAlign w:val="center"/>
          </w:tcPr>
          <w:p>
            <w:pPr>
              <w:spacing w:after="40"/>
            </w:pPr>
            <w:r>
              <w:rPr>
                <w:rFonts w:ascii="Arial" w:hAnsi="Arial"/>
                <w:sz w:val="18"/>
              </w:rPr>
              <w:t>source/teacher-payroll-app/src/lib/__tests__/payroll.test.ts</w:t>
            </w:r>
          </w:p>
        </w:tc>
        <w:tc>
          <w:tcPr>
            <w:tcW w:type="dxa" w:w="6624"/>
            <w:vAlign w:val="center"/>
          </w:tcPr>
          <w:p>
            <w:pPr>
              <w:spacing w:after="40"/>
            </w:pPr>
            <w:r>
              <w:rPr>
                <w:rFonts w:ascii="Arial" w:hAnsi="Arial"/>
                <w:sz w:val="18"/>
              </w:rPr>
              <w:t>Jest unit test cho logic nghiệp vụ.</w:t>
            </w:r>
          </w:p>
        </w:tc>
      </w:tr>
    </w:tbl>
    <w:p>
      <w:pPr>
        <w:pStyle w:val="Heading1"/>
      </w:pPr>
      <w:r>
        <w:t>3. Môi trường cài đặt</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pPr>
              <w:spacing w:after="40"/>
            </w:pPr>
            <w:r>
              <w:rPr>
                <w:rFonts w:ascii="Arial" w:hAnsi="Arial"/>
                <w:b/>
                <w:color w:val="FFFFFF"/>
                <w:sz w:val="18"/>
              </w:rPr>
              <w:t>Thành phần</w:t>
            </w:r>
          </w:p>
        </w:tc>
        <w:tc>
          <w:tcPr>
            <w:tcW w:type="dxa" w:w="7488"/>
            <w:vAlign w:val="center"/>
            <w:shd w:fill="1F4E79"/>
          </w:tcPr>
          <w:p>
            <w:pPr>
              <w:spacing w:after="40"/>
            </w:pPr>
            <w:r>
              <w:rPr>
                <w:rFonts w:ascii="Arial" w:hAnsi="Arial"/>
                <w:b/>
                <w:color w:val="FFFFFF"/>
                <w:sz w:val="18"/>
              </w:rPr>
              <w:t>Phiên bản/ghi chú</w:t>
            </w:r>
          </w:p>
        </w:tc>
      </w:tr>
      <w:tr>
        <w:tc>
          <w:tcPr>
            <w:tcW w:type="dxa" w:w="2880"/>
            <w:vAlign w:val="center"/>
          </w:tcPr>
          <w:p>
            <w:pPr>
              <w:spacing w:after="40"/>
            </w:pPr>
            <w:r>
              <w:rPr>
                <w:rFonts w:ascii="Arial" w:hAnsi="Arial"/>
                <w:sz w:val="18"/>
              </w:rPr>
              <w:t>Node.js</w:t>
            </w:r>
          </w:p>
        </w:tc>
        <w:tc>
          <w:tcPr>
            <w:tcW w:type="dxa" w:w="7488"/>
            <w:vAlign w:val="center"/>
          </w:tcPr>
          <w:p>
            <w:pPr>
              <w:spacing w:after="40"/>
            </w:pPr>
            <w:r>
              <w:rPr>
                <w:rFonts w:ascii="Arial" w:hAnsi="Arial"/>
                <w:sz w:val="18"/>
              </w:rPr>
              <w:t>Khuyến nghị Node.js 20+</w:t>
            </w:r>
          </w:p>
        </w:tc>
      </w:tr>
      <w:tr>
        <w:tc>
          <w:tcPr>
            <w:tcW w:type="dxa" w:w="2880"/>
            <w:vAlign w:val="center"/>
          </w:tcPr>
          <w:p>
            <w:pPr>
              <w:spacing w:after="40"/>
            </w:pPr>
            <w:r>
              <w:rPr>
                <w:rFonts w:ascii="Arial" w:hAnsi="Arial"/>
                <w:sz w:val="18"/>
              </w:rPr>
              <w:t>npm</w:t>
            </w:r>
          </w:p>
        </w:tc>
        <w:tc>
          <w:tcPr>
            <w:tcW w:type="dxa" w:w="7488"/>
            <w:vAlign w:val="center"/>
          </w:tcPr>
          <w:p>
            <w:pPr>
              <w:spacing w:after="40"/>
            </w:pPr>
            <w:r>
              <w:rPr>
                <w:rFonts w:ascii="Arial" w:hAnsi="Arial"/>
                <w:sz w:val="18"/>
              </w:rPr>
              <w:t>Dùng npm install để cài dependency</w:t>
            </w:r>
          </w:p>
        </w:tc>
      </w:tr>
      <w:tr>
        <w:tc>
          <w:tcPr>
            <w:tcW w:type="dxa" w:w="2880"/>
            <w:vAlign w:val="center"/>
          </w:tcPr>
          <w:p>
            <w:pPr>
              <w:spacing w:after="40"/>
            </w:pPr>
            <w:r>
              <w:rPr>
                <w:rFonts w:ascii="Arial" w:hAnsi="Arial"/>
                <w:sz w:val="18"/>
              </w:rPr>
              <w:t>Framework</w:t>
            </w:r>
          </w:p>
        </w:tc>
        <w:tc>
          <w:tcPr>
            <w:tcW w:type="dxa" w:w="7488"/>
            <w:vAlign w:val="center"/>
          </w:tcPr>
          <w:p>
            <w:pPr>
              <w:spacing w:after="40"/>
            </w:pPr>
            <w:r>
              <w:rPr>
                <w:rFonts w:ascii="Arial" w:hAnsi="Arial"/>
                <w:sz w:val="18"/>
              </w:rPr>
              <w:t>Next.js + React + TypeScript</w:t>
            </w:r>
          </w:p>
        </w:tc>
      </w:tr>
      <w:tr>
        <w:tc>
          <w:tcPr>
            <w:tcW w:type="dxa" w:w="2880"/>
            <w:vAlign w:val="center"/>
          </w:tcPr>
          <w:p>
            <w:pPr>
              <w:spacing w:after="40"/>
            </w:pPr>
            <w:r>
              <w:rPr>
                <w:rFonts w:ascii="Arial" w:hAnsi="Arial"/>
                <w:sz w:val="18"/>
              </w:rPr>
              <w:t>Unit test</w:t>
            </w:r>
          </w:p>
        </w:tc>
        <w:tc>
          <w:tcPr>
            <w:tcW w:type="dxa" w:w="7488"/>
            <w:vAlign w:val="center"/>
          </w:tcPr>
          <w:p>
            <w:pPr>
              <w:spacing w:after="40"/>
            </w:pPr>
            <w:r>
              <w:rPr>
                <w:rFonts w:ascii="Arial" w:hAnsi="Arial"/>
                <w:sz w:val="18"/>
              </w:rPr>
              <w:t>Jest + ts-jest</w:t>
            </w:r>
          </w:p>
        </w:tc>
      </w:tr>
      <w:tr>
        <w:tc>
          <w:tcPr>
            <w:tcW w:type="dxa" w:w="2880"/>
            <w:vAlign w:val="center"/>
          </w:tcPr>
          <w:p>
            <w:pPr>
              <w:spacing w:after="40"/>
            </w:pPr>
            <w:r>
              <w:rPr>
                <w:rFonts w:ascii="Arial" w:hAnsi="Arial"/>
                <w:sz w:val="18"/>
              </w:rPr>
              <w:t>Automation</w:t>
            </w:r>
          </w:p>
        </w:tc>
        <w:tc>
          <w:tcPr>
            <w:tcW w:type="dxa" w:w="7488"/>
            <w:vAlign w:val="center"/>
          </w:tcPr>
          <w:p>
            <w:pPr>
              <w:spacing w:after="40"/>
            </w:pPr>
            <w:r>
              <w:rPr>
                <w:rFonts w:ascii="Arial" w:hAnsi="Arial"/>
                <w:sz w:val="18"/>
              </w:rPr>
              <w:t>Python 3 + selenium hoặc selenium-webdriver tùy cách chạy</w:t>
            </w:r>
          </w:p>
        </w:tc>
      </w:tr>
      <w:tr>
        <w:tc>
          <w:tcPr>
            <w:tcW w:type="dxa" w:w="2880"/>
            <w:vAlign w:val="center"/>
          </w:tcPr>
          <w:p>
            <w:pPr>
              <w:spacing w:after="40"/>
            </w:pPr>
            <w:r>
              <w:rPr>
                <w:rFonts w:ascii="Arial" w:hAnsi="Arial"/>
                <w:sz w:val="18"/>
              </w:rPr>
              <w:t>Performance</w:t>
            </w:r>
          </w:p>
        </w:tc>
        <w:tc>
          <w:tcPr>
            <w:tcW w:type="dxa" w:w="7488"/>
            <w:vAlign w:val="center"/>
          </w:tcPr>
          <w:p>
            <w:pPr>
              <w:spacing w:after="40"/>
            </w:pPr>
            <w:r>
              <w:rPr>
                <w:rFonts w:ascii="Arial" w:hAnsi="Arial"/>
                <w:sz w:val="18"/>
              </w:rPr>
              <w:t>Apache JMeter 5.6+</w:t>
            </w:r>
          </w:p>
        </w:tc>
      </w:tr>
    </w:tbl>
    <w:p>
      <w:pPr>
        <w:pStyle w:val="Heading1"/>
      </w:pPr>
      <w:r>
        <w:t>4. Lệnh cài đặt và chạy</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1F4E79"/>
          </w:tcPr>
          <w:p>
            <w:pPr>
              <w:spacing w:after="40"/>
            </w:pPr>
            <w:r>
              <w:rPr>
                <w:rFonts w:ascii="Arial" w:hAnsi="Arial"/>
                <w:b/>
                <w:color w:val="FFFFFF"/>
                <w:sz w:val="18"/>
              </w:rPr>
              <w:t>Lệnh</w:t>
            </w:r>
          </w:p>
        </w:tc>
        <w:tc>
          <w:tcPr>
            <w:tcW w:type="dxa" w:w="6768"/>
            <w:vAlign w:val="center"/>
            <w:shd w:fill="1F4E79"/>
          </w:tcPr>
          <w:p>
            <w:pPr>
              <w:spacing w:after="40"/>
            </w:pPr>
            <w:r>
              <w:rPr>
                <w:rFonts w:ascii="Arial" w:hAnsi="Arial"/>
                <w:b/>
                <w:color w:val="FFFFFF"/>
                <w:sz w:val="18"/>
              </w:rPr>
              <w:t>Ý nghĩa</w:t>
            </w:r>
          </w:p>
        </w:tc>
      </w:tr>
      <w:tr>
        <w:tc>
          <w:tcPr>
            <w:tcW w:type="dxa" w:w="3744"/>
            <w:vAlign w:val="center"/>
          </w:tcPr>
          <w:p>
            <w:pPr>
              <w:spacing w:after="40"/>
            </w:pPr>
            <w:r>
              <w:rPr>
                <w:rFonts w:ascii="Arial" w:hAnsi="Arial"/>
                <w:sz w:val="18"/>
              </w:rPr>
              <w:t>cd source/teacher-payroll-app</w:t>
            </w:r>
          </w:p>
        </w:tc>
        <w:tc>
          <w:tcPr>
            <w:tcW w:type="dxa" w:w="6768"/>
            <w:vAlign w:val="center"/>
          </w:tcPr>
          <w:p>
            <w:pPr>
              <w:spacing w:after="40"/>
            </w:pPr>
            <w:r>
              <w:rPr>
                <w:rFonts w:ascii="Arial" w:hAnsi="Arial"/>
                <w:sz w:val="18"/>
              </w:rPr>
              <w:t>Chuyển vào thư mục mã nguồn.</w:t>
            </w:r>
          </w:p>
        </w:tc>
      </w:tr>
      <w:tr>
        <w:tc>
          <w:tcPr>
            <w:tcW w:type="dxa" w:w="3744"/>
            <w:vAlign w:val="center"/>
          </w:tcPr>
          <w:p>
            <w:pPr>
              <w:spacing w:after="40"/>
            </w:pPr>
            <w:r>
              <w:rPr>
                <w:rFonts w:ascii="Arial" w:hAnsi="Arial"/>
                <w:sz w:val="18"/>
              </w:rPr>
              <w:t>npm install</w:t>
            </w:r>
          </w:p>
        </w:tc>
        <w:tc>
          <w:tcPr>
            <w:tcW w:type="dxa" w:w="6768"/>
            <w:vAlign w:val="center"/>
          </w:tcPr>
          <w:p>
            <w:pPr>
              <w:spacing w:after="40"/>
            </w:pPr>
            <w:r>
              <w:rPr>
                <w:rFonts w:ascii="Arial" w:hAnsi="Arial"/>
                <w:sz w:val="18"/>
              </w:rPr>
              <w:t>Cài dependency.</w:t>
            </w:r>
          </w:p>
        </w:tc>
      </w:tr>
      <w:tr>
        <w:tc>
          <w:tcPr>
            <w:tcW w:type="dxa" w:w="3744"/>
            <w:vAlign w:val="center"/>
          </w:tcPr>
          <w:p>
            <w:pPr>
              <w:spacing w:after="40"/>
            </w:pPr>
            <w:r>
              <w:rPr>
                <w:rFonts w:ascii="Arial" w:hAnsi="Arial"/>
                <w:sz w:val="18"/>
              </w:rPr>
              <w:t>npm run dev</w:t>
            </w:r>
          </w:p>
        </w:tc>
        <w:tc>
          <w:tcPr>
            <w:tcW w:type="dxa" w:w="6768"/>
            <w:vAlign w:val="center"/>
          </w:tcPr>
          <w:p>
            <w:pPr>
              <w:spacing w:after="40"/>
            </w:pPr>
            <w:r>
              <w:rPr>
                <w:rFonts w:ascii="Arial" w:hAnsi="Arial"/>
                <w:sz w:val="18"/>
              </w:rPr>
              <w:t>Chạy ứng dụng ở chế độ dev tại http://localhost:3000.</w:t>
            </w:r>
          </w:p>
        </w:tc>
      </w:tr>
      <w:tr>
        <w:tc>
          <w:tcPr>
            <w:tcW w:type="dxa" w:w="3744"/>
            <w:vAlign w:val="center"/>
          </w:tcPr>
          <w:p>
            <w:pPr>
              <w:spacing w:after="40"/>
            </w:pPr>
            <w:r>
              <w:rPr>
                <w:rFonts w:ascii="Arial" w:hAnsi="Arial"/>
                <w:sz w:val="18"/>
              </w:rPr>
              <w:t>npm test</w:t>
            </w:r>
          </w:p>
        </w:tc>
        <w:tc>
          <w:tcPr>
            <w:tcW w:type="dxa" w:w="6768"/>
            <w:vAlign w:val="center"/>
          </w:tcPr>
          <w:p>
            <w:pPr>
              <w:spacing w:after="40"/>
            </w:pPr>
            <w:r>
              <w:rPr>
                <w:rFonts w:ascii="Arial" w:hAnsi="Arial"/>
                <w:sz w:val="18"/>
              </w:rPr>
              <w:t>Chạy unit test Jest.</w:t>
            </w:r>
          </w:p>
        </w:tc>
      </w:tr>
      <w:tr>
        <w:tc>
          <w:tcPr>
            <w:tcW w:type="dxa" w:w="3744"/>
            <w:vAlign w:val="center"/>
          </w:tcPr>
          <w:p>
            <w:pPr>
              <w:spacing w:after="40"/>
            </w:pPr>
            <w:r>
              <w:rPr>
                <w:rFonts w:ascii="Arial" w:hAnsi="Arial"/>
                <w:sz w:val="18"/>
              </w:rPr>
              <w:t>npm run coverage</w:t>
            </w:r>
          </w:p>
        </w:tc>
        <w:tc>
          <w:tcPr>
            <w:tcW w:type="dxa" w:w="6768"/>
            <w:vAlign w:val="center"/>
          </w:tcPr>
          <w:p>
            <w:pPr>
              <w:spacing w:after="40"/>
            </w:pPr>
            <w:r>
              <w:rPr>
                <w:rFonts w:ascii="Arial" w:hAnsi="Arial"/>
                <w:sz w:val="18"/>
              </w:rPr>
              <w:t>Sinh coverage report cho YC6.</w:t>
            </w:r>
          </w:p>
        </w:tc>
      </w:tr>
    </w:tbl>
    <w:p>
      <w:pPr>
        <w:pStyle w:val="Heading1"/>
      </w:pPr>
      <w:r>
        <w:t>5. Lưu ý khi nộp</w:t>
      </w:r>
    </w:p>
    <w:p>
      <w:pPr>
        <w:pStyle w:val="ListBullet"/>
      </w:pPr>
      <w:r>
        <w:t>Nếu nhóm đã có source thật khác source mẫu, cần thay toàn bộ thư mục source/teacher-payroll-app bằng source thật.</w:t>
      </w:r>
    </w:p>
    <w:p>
      <w:pPr>
        <w:pStyle w:val="ListBullet"/>
      </w:pPr>
      <w:r>
        <w:t>Sau khi thay source thật, chạy lại Jest, Selenium và JMeter để cập nhật evidence.</w:t>
      </w:r>
    </w:p>
    <w:p>
      <w:pPr>
        <w:pStyle w:val="ListBullet"/>
      </w:pPr>
      <w:r>
        <w:t>Không chỉ đính ảnh giao diện; cần nộp cả mã nguồn và hướng dẫn chạy để YC2 được tính đầy đủ.</w:t>
      </w:r>
    </w:p>
    <w:p>
      <w:r>
        <w:br w:type="page"/>
      </w:r>
    </w:p>
    <w:p>
      <w:pPr>
        <w:pStyle w:val="Heading1"/>
      </w:pPr>
      <w:r>
        <w:t>PHẦN B – TRIỂN KHAI CƠ SỞ DỮ LIỆU PRISMA + SQLITE (CẬP NHẬT YC2)</w:t>
      </w:r>
    </w:p>
    <w:p>
      <w:r>
        <w:rPr>
          <w:b w:val="0"/>
          <w:i/>
        </w:rPr>
        <w:t>Phần này khắc phục điểm chưa nhất quán đã nêu khi rà soát: đặc tả mô tả backend dùng Node.js + Prisma ORM + SQLite, nhưng phiên bản trước lưu dữ liệu phía client (localStorage). Phiên bản này bổ sung tầng CSDL thật bằng Prisma + SQLite để mã nguồn khớp với đặc tả.</w:t>
      </w:r>
    </w:p>
    <w:p>
      <w:pPr>
        <w:pStyle w:val="Heading2"/>
      </w:pPr>
      <w:r>
        <w:t>B.1. Kiến trúc dữ liệu sau cập nhật</w:t>
      </w:r>
    </w:p>
    <w:p>
      <w:r>
        <w:rPr>
          <w:b w:val="0"/>
          <w:i w:val="0"/>
        </w:rPr>
        <w:t>Frontend (Next.js/React) ⇄ API Route Handlers (/api/state, /api/teachers, /api/reports, /api/payroll) ⇄ Prisma ORM ⇄ SQLite (prisma/dev.db). UI gọi GET /api/state để nạp toàn bộ dữ liệu từ SQLite khi khởi động và gọi PUT /api/state (write-through) mỗi khi có thay đổi; localStorage chỉ còn là cache offline.</w:t>
      </w:r>
    </w:p>
    <w:p>
      <w:pPr>
        <w:pStyle w:val="Heading2"/>
      </w:pPr>
      <w:r>
        <w:t>B.2. Các tệp đã bổ sung/cập nhật</w:t>
      </w:r>
    </w:p>
    <w:tbl>
      <w:tblPr>
        <w:tblStyle w:val="LightGrid-Accent1"/>
        <w:tblW w:type="auto" w:w="0"/>
        <w:tblLook w:firstColumn="1" w:firstRow="1" w:lastColumn="0" w:lastRow="0" w:noHBand="0" w:noVBand="1" w:val="04A0"/>
      </w:tblPr>
      <w:tblGrid>
        <w:gridCol w:w="5112"/>
        <w:gridCol w:w="5112"/>
      </w:tblGrid>
      <w:tr>
        <w:tc>
          <w:tcPr>
            <w:tcW w:type="dxa" w:w="5112"/>
          </w:tcPr>
          <w:p>
            <w:r>
              <w:t>Đường dẫn</w:t>
            </w:r>
          </w:p>
        </w:tc>
        <w:tc>
          <w:tcPr>
            <w:tcW w:type="dxa" w:w="5112"/>
          </w:tcPr>
          <w:p>
            <w:r>
              <w:t>Mục đích</w:t>
            </w:r>
          </w:p>
        </w:tc>
      </w:tr>
      <w:tr>
        <w:tc>
          <w:tcPr>
            <w:tcW w:type="dxa" w:w="5112"/>
          </w:tcPr>
          <w:p>
            <w:r>
              <w:t>prisma/schema.prisma</w:t>
            </w:r>
          </w:p>
        </w:tc>
        <w:tc>
          <w:tcPr>
            <w:tcW w:type="dxa" w:w="5112"/>
          </w:tcPr>
          <w:p>
            <w:r>
              <w:t>Định nghĩa 10 model (Degree, Department, Teacher, Subject, Semester, TeachingClass, Assignment, PaymentRate, DegreeCoefficient, ClassCoefficient) + quan hệ khoá ngoại.</w:t>
            </w:r>
          </w:p>
        </w:tc>
      </w:tr>
      <w:tr>
        <w:tc>
          <w:tcPr>
            <w:tcW w:type="dxa" w:w="5112"/>
          </w:tcPr>
          <w:p>
            <w:r>
              <w:t>prisma/migrations/.../migration.sql</w:t>
            </w:r>
          </w:p>
        </w:tc>
        <w:tc>
          <w:tcPr>
            <w:tcW w:type="dxa" w:w="5112"/>
          </w:tcPr>
          <w:p>
            <w:r>
              <w:t>Migration tạo bảng + ràng buộc UNIQUE/Foreign Key cho SQLite.</w:t>
            </w:r>
          </w:p>
        </w:tc>
      </w:tr>
      <w:tr>
        <w:tc>
          <w:tcPr>
            <w:tcW w:type="dxa" w:w="5112"/>
          </w:tcPr>
          <w:p>
            <w:r>
              <w:t>prisma/seed.ts</w:t>
            </w:r>
          </w:p>
        </w:tc>
        <w:tc>
          <w:tcPr>
            <w:tcW w:type="dxa" w:w="5112"/>
          </w:tcPr>
          <w:p>
            <w:r>
              <w:t>Nạp dữ liệu mẫu vào SQLite (prisma db seed).</w:t>
            </w:r>
          </w:p>
        </w:tc>
      </w:tr>
      <w:tr>
        <w:tc>
          <w:tcPr>
            <w:tcW w:type="dxa" w:w="5112"/>
          </w:tcPr>
          <w:p>
            <w:r>
              <w:t>.env</w:t>
            </w:r>
          </w:p>
        </w:tc>
        <w:tc>
          <w:tcPr>
            <w:tcW w:type="dxa" w:w="5112"/>
          </w:tcPr>
          <w:p>
            <w:r>
              <w:t>Khai báo DATABASE_URL="file:./dev.db".</w:t>
            </w:r>
          </w:p>
        </w:tc>
      </w:tr>
      <w:tr>
        <w:tc>
          <w:tcPr>
            <w:tcW w:type="dxa" w:w="5112"/>
          </w:tcPr>
          <w:p>
            <w:r>
              <w:t>src/lib/db.ts</w:t>
            </w:r>
          </w:p>
        </w:tc>
        <w:tc>
          <w:tcPr>
            <w:tcW w:type="dxa" w:w="5112"/>
          </w:tcPr>
          <w:p>
            <w:r>
              <w:t>Khởi tạo PrismaClient singleton.</w:t>
            </w:r>
          </w:p>
        </w:tc>
      </w:tr>
      <w:tr>
        <w:tc>
          <w:tcPr>
            <w:tcW w:type="dxa" w:w="5112"/>
          </w:tcPr>
          <w:p>
            <w:r>
              <w:t>src/lib/repository.ts</w:t>
            </w:r>
          </w:p>
        </w:tc>
        <w:tc>
          <w:tcPr>
            <w:tcW w:type="dxa" w:w="5112"/>
          </w:tcPr>
          <w:p>
            <w:r>
              <w:t>Hàm bất đồng bộ: getAllData, replaceAllData, computePayrollLines (đọc/ghi SQLite + tính tiền).</w:t>
            </w:r>
          </w:p>
        </w:tc>
      </w:tr>
      <w:tr>
        <w:tc>
          <w:tcPr>
            <w:tcW w:type="dxa" w:w="5112"/>
          </w:tcPr>
          <w:p>
            <w:r>
              <w:t>src/app/api/state/route.ts</w:t>
            </w:r>
          </w:p>
        </w:tc>
        <w:tc>
          <w:tcPr>
            <w:tcW w:type="dxa" w:w="5112"/>
          </w:tcPr>
          <w:p>
            <w:r>
              <w:t>GET nạp toàn bộ dữ liệu; PUT ghi đè dữ liệu trong 1 transaction.</w:t>
            </w:r>
          </w:p>
        </w:tc>
      </w:tr>
      <w:tr>
        <w:tc>
          <w:tcPr>
            <w:tcW w:type="dxa" w:w="5112"/>
          </w:tcPr>
          <w:p>
            <w:r>
              <w:t>src/app/api/teachers/route.ts</w:t>
            </w:r>
          </w:p>
        </w:tc>
        <w:tc>
          <w:tcPr>
            <w:tcW w:type="dxa" w:w="5112"/>
          </w:tcPr>
          <w:p>
            <w:r>
              <w:t>Trả danh sách giáo viên đọc từ SQLite.</w:t>
            </w:r>
          </w:p>
        </w:tc>
      </w:tr>
      <w:tr>
        <w:tc>
          <w:tcPr>
            <w:tcW w:type="dxa" w:w="5112"/>
          </w:tcPr>
          <w:p>
            <w:r>
              <w:t>src/app/api/reports/route.ts</w:t>
            </w:r>
          </w:p>
        </w:tc>
        <w:tc>
          <w:tcPr>
            <w:tcW w:type="dxa" w:w="5112"/>
          </w:tcPr>
          <w:p>
            <w:r>
              <w:t>Tính bảng lương trực tiếp từ SQLite (lọc theo năm học).</w:t>
            </w:r>
          </w:p>
        </w:tc>
      </w:tr>
      <w:tr>
        <w:tc>
          <w:tcPr>
            <w:tcW w:type="dxa" w:w="5112"/>
          </w:tcPr>
          <w:p>
            <w:r>
              <w:t>src/lib/use-app-data.ts</w:t>
            </w:r>
          </w:p>
        </w:tc>
        <w:tc>
          <w:tcPr>
            <w:tcW w:type="dxa" w:w="5112"/>
          </w:tcPr>
          <w:p>
            <w:r>
              <w:t>Đã refactor: nạp từ /api/state, write-through xuống SQLite.</w:t>
            </w:r>
          </w:p>
        </w:tc>
      </w:tr>
    </w:tbl>
    <w:p>
      <w:pPr>
        <w:pStyle w:val="Heading2"/>
      </w:pPr>
      <w:r>
        <w:t>B.3. Các bước cài đặt và chạy CSDL</w:t>
      </w:r>
    </w:p>
    <w:p>
      <w:pPr>
        <w:pStyle w:val="ListNumber"/>
      </w:pPr>
      <w:r>
        <w:t>npm install   (postinstall tự chạy prisma generate)</w:t>
      </w:r>
    </w:p>
    <w:p>
      <w:pPr>
        <w:pStyle w:val="ListNumber"/>
      </w:pPr>
      <w:r>
        <w:t>npx prisma migrate dev --name init   (tạo file prisma/dev.db và các bảng)</w:t>
      </w:r>
    </w:p>
    <w:p>
      <w:pPr>
        <w:pStyle w:val="ListNumber"/>
      </w:pPr>
      <w:r>
        <w:t>npm run db:seed   (nạp dữ liệu mẫu)</w:t>
      </w:r>
    </w:p>
    <w:p>
      <w:pPr>
        <w:pStyle w:val="ListNumber"/>
      </w:pPr>
      <w:r>
        <w:t>npm run dev   (chạy ứng dụng; dữ liệu được đọc/ghi qua SQLite)</w:t>
      </w:r>
    </w:p>
    <w:p>
      <w:pPr>
        <w:pStyle w:val="Heading2"/>
      </w:pPr>
      <w:r>
        <w:t>B.4. Sơ đồ quan hệ thực thể (tóm tắt)</w:t>
      </w:r>
    </w:p>
    <w:p>
      <w:r>
        <w:rPr>
          <w:b w:val="0"/>
          <w:i w:val="0"/>
        </w:rPr>
        <w:t>Teacher thuộc về Department và có một Degree. TeachingClass thuộc về Subject và Semester. Assignment nối Teacher với TeachingClass (kèm số tiết). PaymentRate gắn theo năm học; DegreeCoefficient gắn theo (năm học, bằng cấp); ClassCoefficient gắn theo (năm học, khoảng sĩ số). Các ràng buộc khoá ngoại bảo đảm không xoá được bản ghi đang được tham chiếu (đúng các test case TC007, TC019, TC039, TC048).</w:t>
      </w:r>
    </w:p>
    <w:p>
      <w:pPr>
        <w:pStyle w:val="Heading2"/>
      </w:pPr>
      <w:r>
        <w:t>B.5. Bằng chứng CSDL hoạt động (đã kiểm chứng)</w:t>
      </w:r>
    </w:p>
    <w:p>
      <w:r>
        <w:rPr>
          <w:b w:val="0"/>
          <w:i w:val="0"/>
        </w:rPr>
        <w:t>Vì môi trường dựng báo cáo chặn tải Prisma engine, nhóm đã kiểm chứng mô hình dữ liệu trực tiếp trên SQLite: tạo CSDL từ đúng lược đồ, seed đủ 10 bảng và chạy truy vấn tính tiền dạy (join 7 bảng). Kết quả nội bộ nhất quán, ví dụ GV0001 (Nguyễn Văn An, TS): lớp CSDL101.01 = 45 × (1,0 + 0) × 143.000 × 2,0 = 12.870.000; lớp ATTT301.01 = 45 × (1,2 + 0) × 143.000 × 2,0 = 15.444.000; tổng = 28.314.000 đ — khớp tuyệt đối giữa tính tay và truy vấn SQL. Chi tiết xem evidence/db-sqlite/yc2-sqlite-evidence.txt và file prisma/dev.db kèm theo.</w:t>
      </w:r>
    </w:p>
    <w:p>
      <w:r>
        <w:rPr>
          <w:b w:val="0"/>
          <w:i/>
        </w:rPr>
        <w:t>Lưu ý: trên máy có Internet, chỉ cần chạy 'npx prisma migrate dev' và 'npm run db:seed' là Prisma tự tạo lại dev.db và sinh client; không cần thao tác thủ công.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