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before="0"/>
      </w:pPr>
      <w:r>
        <w:rPr>
          <w:b/>
          <w:bCs/>
        </w:rPr>
        <w:t xml:space="preserve">Rubric for Academic Essay on Digital Transformation in Higher Education</w:t>
      </w:r>
    </w:p>
    <w:tbl>
      <w:tblP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Style w:val="Table"/>
        <w:tblW w:type="dxa" w:w="792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bottom w:val="single" w:sz="8" w:space="0" w:color="000000"/>
            </w:tcBorders>
          </w:tcPr>
          <w:p>
            <w:pPr>
              <w:pStyle w:val="Compact"/>
            </w:pPr>
            <w:r>
              <w:rPr>
                <w:sz w:val="22"/>
                <w:szCs w:val="22"/>
              </w:rPr>
              <w:t xml:space="preserve">Criteria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</w:pPr>
            <w:r>
              <w:rPr>
                <w:sz w:val="22"/>
                <w:szCs w:val="22"/>
              </w:rPr>
              <w:t xml:space="preserve">4 — Exceeds Expectations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</w:pPr>
            <w:r>
              <w:rPr>
                <w:sz w:val="22"/>
                <w:szCs w:val="22"/>
              </w:rPr>
              <w:t xml:space="preserve">3 — Meets Expectations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</w:pPr>
            <w:r>
              <w:rPr>
                <w:sz w:val="22"/>
                <w:szCs w:val="22"/>
              </w:rPr>
              <w:t xml:space="preserve">2 — Approaching Expectations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</w:pPr>
            <w:r>
              <w:rPr>
                <w:sz w:val="22"/>
                <w:szCs w:val="22"/>
              </w:rPr>
              <w:t xml:space="preserve">1 — Beginning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22"/>
                <w:szCs w:val="22"/>
              </w:rPr>
              <w:t xml:space="preserve">Bố cục &amp; Tính học thuật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  <w:szCs w:val="22"/>
              </w:rPr>
              <w:t xml:space="preserve">Bài viết dài</w:t>
            </w:r>
            <w:r>
              <w:rPr>
                <w:sz w:val="22"/>
                <w:szCs w:val="22"/>
              </w:rPr>
              <w:t xml:space="preserve"> </w:t>
            </w:r>
            <m:oMath>
              <m:r>
                <m:t>1500</m:t>
              </m:r>
            </m:oMath>
            <w:r>
              <w:rPr>
                <w:sz w:val="22"/>
                <w:szCs w:val="22"/>
              </w:rPr>
              <w:t xml:space="preserve">–</w:t>
            </w:r>
            <m:oMath>
              <m:r>
                <m:t>2000</m:t>
              </m:r>
            </m:oMath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từ, có mở bài, thân bài, kết bài rõ ràng; luận điểm trung tâm rất rõ; các đoạn văn phát triển mạch lạc, chuyển ý tự nhiên; giọng văn học thuật nhất quán, chính xác, phù hợp với bài tiểu luận đại học.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  <w:szCs w:val="22"/>
              </w:rPr>
              <w:t xml:space="preserve">Bài viết dài</w:t>
            </w:r>
            <w:r>
              <w:rPr>
                <w:sz w:val="22"/>
                <w:szCs w:val="22"/>
              </w:rPr>
              <w:t xml:space="preserve"> </w:t>
            </w:r>
            <m:oMath>
              <m:r>
                <m:t>1500</m:t>
              </m:r>
            </m:oMath>
            <w:r>
              <w:rPr>
                <w:sz w:val="22"/>
                <w:szCs w:val="22"/>
              </w:rPr>
              <w:t xml:space="preserve">–</w:t>
            </w:r>
            <m:oMath>
              <m:r>
                <m:t>2000</m:t>
              </m:r>
            </m:oMath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từ, có đủ mở bài, thân bài, kết bài; luận điểm trung tâm rõ; các đoạn văn sắp xếp hợp lý; giọng văn nhìn chung học thuật và phù hợp với yêu cầu bài viết.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  <w:szCs w:val="22"/>
              </w:rPr>
              <w:t xml:space="preserve">Bài viết có cấu trúc cơ bản nhưng một số phần chưa cân đối hoặc chưa rõ; luận điểm trung tâm còn mờ; chuyển ý giữa các đoạn còn gượng; giọng văn có lúc chưa thật sự học thuật hoặc còn lẫn văn nói.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  <w:szCs w:val="22"/>
              </w:rPr>
              <w:t xml:space="preserve">Bài viết thiếu cấu trúc rõ ràng; mở bài, thân bài, kết bài không đầy đủ hoặc lẫn lộn; ý chính khó xác định; giọng văn không phù hợp với bài tiểu luận học thuật.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22"/>
                <w:szCs w:val="22"/>
              </w:rPr>
              <w:t xml:space="preserve">Tư duy phản biện &amp; Lập luận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  <w:szCs w:val="22"/>
              </w:rPr>
              <w:t xml:space="preserve">Phân tích sâu thực trạng chuyển đổi số trong giáo dục đại học; đánh giá đa chiều nguyên nhân, tác động, và hạn chế; lập luận chặt chẽ, có phản biện rõ; các giải pháp được phát triển từ phân tích và được bảo vệ bằng lý lẽ thuyết phục.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  <w:szCs w:val="22"/>
              </w:rPr>
              <w:t xml:space="preserve">Phân tích đúng vấn đề và nêu được các nguyên nhân, tác động chính; lập luận rõ ràng, có liên hệ giữa thực trạng và giải pháp; có yếu tố phản biện nhưng chưa thật sâu ở mọi phần.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  <w:szCs w:val="22"/>
              </w:rPr>
              <w:t xml:space="preserve">Có phân tích nhưng còn thiên về kể lại hoặc liệt kê; lập luận chưa đều, một số ý chưa được giải thích đầy đủ; giải pháp có liên hệ với vấn đề nhưng chưa được chứng minh thuyết phục.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  <w:szCs w:val="22"/>
              </w:rPr>
              <w:t xml:space="preserve">Phân tích rất hạn chế hoặc chỉ mô tả bề mặt; lập luận rời rạc, thiếu bằng chứng hoặc thiếu logic; giải pháp không gắn chặt với thực trạng hoặc khó hiểu.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22"/>
                <w:szCs w:val="22"/>
              </w:rPr>
              <w:t xml:space="preserve">Trích dẫn &amp; Liêm chính học thuật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  <w:szCs w:val="22"/>
              </w:rPr>
              <w:t xml:space="preserve">Sử dụng trích dẫn và tài liệu tham khảo theo đúng chuẩn APA; nguồn học thuật phù hợp, đáng tin cậy, và được tích hợp tự nhiên vào lập luận; không có dấu hiệu đạo văn; mọi ý tưởng vay mượn đều được ghi nguồn đầy đủ và nhất quán.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  <w:szCs w:val="22"/>
              </w:rPr>
              <w:t xml:space="preserve">Trích dẫn và danh mục tài liệu tham khảo nhìn chung đúng chuẩn APA; sử dụng nguồn phù hợp; có thể có vài lỗi trình bày nhỏ nhưng không ảnh hưởng lớn đến liêm chính học thuật hoặc độ tin cậy của bài.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  <w:szCs w:val="22"/>
              </w:rPr>
              <w:t xml:space="preserve">Có sử dụng nguồn và trích dẫn nhưng còn nhiều lỗi APA; một số nguồn chưa thật phù hợp hoặc chưa được gắn vào lập luận rõ ràng; liêm chính học thuật chưa được thể hiện nhất quán.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  <w:szCs w:val="22"/>
              </w:rPr>
              <w:t xml:space="preserve">Thiếu trích dẫn rõ ràng, dùng nguồn không đáng tin cậy, hoặc trình bày tài liệu tham khảo rất thiếu sót; có dấu hiệu sao chép hoặc vi phạm liêm chính học thuật.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22"/>
                <w:szCs w:val="22"/>
              </w:rPr>
              <w:t xml:space="preserve">Tính khả thi của giải pháp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  <w:szCs w:val="22"/>
              </w:rPr>
              <w:t xml:space="preserve">Đề xuất giải pháp cụ thể, thực tế, và phù hợp với bối cảnh giáo dục đại học; nêu rõ cách triển khai, nguồn lực cần thiết, đối tượng thực hiện, và khả năng áp dụng; giải pháp giải quyết đúng vấn đề đã phân tích.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  <w:szCs w:val="22"/>
              </w:rPr>
              <w:t xml:space="preserve">Đề xuất giải pháp phù hợp với vấn đề và bối cảnh chung; có nêu cách thực hiện hoặc điều kiện cần có, nhưng một số chi tiết còn chưa đầy đủ; tính ứng dụng nhìn chung rõ ràng.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  <w:szCs w:val="22"/>
              </w:rPr>
              <w:t xml:space="preserve">Giải pháp có liên quan đến vấn đề nhưng còn chung chung; ít nêu cách triển khai, nguồn lực, hoặc điều kiện thực hiện; mức độ khả thi chưa được chứng minh rõ.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  <w:szCs w:val="22"/>
              </w:rPr>
              <w:t xml:space="preserve">Giải pháp mơ hồ, xa rời thực tế, hoặc không phù hợp với vấn đề đã nêu; thiếu cơ sở để cho thấy có thể áp dụng trong giáo dục đại học.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22"/>
                <w:szCs w:val="22"/>
              </w:rPr>
              <w:t xml:space="preserve">Ngôn ngữ &amp; Cơ chế trình bày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  <w:szCs w:val="22"/>
              </w:rPr>
              <w:t xml:space="preserve">Văn phong chuẩn mực, chính xác, giàu tính học thuật; dùng thuật ngữ phù hợp và nhất quán; gần như không có lỗi chính tả, ngữ pháp, hoặc trình bày; định dạng sạch sẽ và chuyên nghiệp.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  <w:szCs w:val="22"/>
              </w:rPr>
              <w:t xml:space="preserve">Văn phong phù hợp với bài tiểu luận; có dùng thuật ngữ học thuật tương đối chính xác; có một số lỗi nhỏ về chính tả, ngữ pháp, hoặc trình bày nhưng không làm giảm đáng kể chất lượng bài.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  <w:szCs w:val="22"/>
              </w:rPr>
              <w:t xml:space="preserve">Văn phong còn đơn giản hoặc chưa ổn định; xuất hiện lỗi ngữ pháp, chính tả, hoặc trình bày khá thường xuyên; một số chỗ làm người đọc phải dừng lại để hiểu.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  <w:szCs w:val="22"/>
              </w:rPr>
              <w:t xml:space="preserve">Văn phong yếu, nhiều lỗi ngữ pháp, chính tả, hoặc trình bày; bài khó đọc, khó hiểu, và chưa thể hiện được yêu cầu của một bài tiểu luận đại học.</w:t>
            </w:r>
          </w:p>
        </w:tc>
      </w:tr>
    </w:tbl>
    <w:sectPr>
      <w:footnotePr>
        <w:numRestart w:val="eachSect"/>
      </w:footnotePr>
      <w:pgSz w:h="15840" w:w="12240"/>
      <w:pgMar w:bottom="1440" w:footer="720" w:gutter="0" w:header="72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color w:val="000000"/>
        <w:sz w:val="22"/>
        <w:szCs w:val="22"/>
        <w:lang w:bidi="ar-SA" w:eastAsia="zh-CN" w:val="en-US"/>
      </w:rPr>
    </w:rPrDefault>
    <w:pPrDefault>
      <w:pPr>
        <w:spacing w:after="160" w:before="0" w:line="276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</w:rPr>
  </w:style>
  <w:style w:styleId="BodyText" w:type="paragraph">
    <w:name w:val="Body Text"/>
    <w:basedOn w:val="Normal"/>
    <w:link w:val="BodyTextChar"/>
    <w:qFormat/>
    <w:pPr>
      <w:spacing w:after="160" w:before="0"/>
    </w:pPr>
    <w:rPr>
      <w:rFonts w:ascii="Arial" w:cs="Arial" w:eastAsia="Arial" w:hAnsi="Arial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Arial" w:cs="Arial" w:eastAsia="Arial" w:hAnsi="Arial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Arial" w:cs="Arial" w:eastAsia="Arial" w:hAnsi="Arial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Arial" w:cs="Arial" w:eastAsia="Arial" w:hAnsi="Arial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Arial" w:cs="Arial" w:eastAsia="Arial" w:hAnsi="Arial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400"/>
      <w:outlineLvl w:val="0"/>
    </w:pPr>
    <w:rPr>
      <w:rFonts w:ascii="Arial" w:cs="Arial" w:eastAsia="Arial" w:hAnsi="Arial"/>
      <w:color w:val="000000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360"/>
      <w:outlineLvl w:val="1"/>
    </w:pPr>
    <w:rPr>
      <w:rFonts w:ascii="Arial" w:cs="Arial" w:eastAsia="Arial" w:hAnsi="Arial"/>
      <w:color w:val="000000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320"/>
      <w:outlineLvl w:val="2"/>
    </w:pPr>
    <w:rPr>
      <w:rFonts w:ascii="Arial" w:cs="Arial" w:eastAsia="Arial" w:hAnsi="Arial"/>
      <w:color w:val="434343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80" w:before="280"/>
      <w:outlineLvl w:val="3"/>
    </w:pPr>
    <w:rPr>
      <w:rFonts w:ascii="Arial" w:cs="Arial" w:eastAsia="Arial" w:hAnsi="Arial"/>
      <w:color w:val="666666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80" w:before="240"/>
      <w:outlineLvl w:val="4"/>
    </w:pPr>
    <w:rPr>
      <w:rFonts w:ascii="Arial" w:cs="Arial" w:eastAsia="Arial" w:hAnsi="Arial"/>
      <w:color w:val="666666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80" w:before="240"/>
      <w:outlineLvl w:val="5"/>
    </w:pPr>
    <w:rPr>
      <w:rFonts w:ascii="Arial" w:cs="Arial" w:eastAsia="Arial" w:hAnsi="Arial"/>
      <w:i/>
      <w:iCs/>
      <w:color w:val="666666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Arial" w:cs="Arial" w:eastAsia="Arial" w:hAnsi="Arial"/>
      <w:color w:val="000000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Arial" w:cs="Arial" w:eastAsia="Arial" w:hAnsi="Arial"/>
      <w:i/>
      <w:iCs/>
      <w:color w:val="000000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Arial" w:cs="Arial" w:eastAsia="Arial" w:hAnsi="Arial"/>
      <w:color w:val="000000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Arial" w:cs="Arial" w:eastAsia="Arial" w:hAnsi="Arial"/>
      <w:color w:val="000000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Arial" w:cs="Arial" w:eastAsia="Arial" w:hAnsi="Arial"/>
      <w:color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Arial" w:cs="Arial" w:eastAsia="Arial" w:hAnsi="Arial"/>
      <w:color w:val="434343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Arial" w:cs="Arial" w:eastAsia="Arial" w:hAnsi="Arial"/>
      <w:color w:val="666666"/>
      <w:sz w:val="24"/>
      <w:szCs w:val="24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Arial" w:cs="Arial" w:eastAsia="Arial" w:hAnsi="Arial"/>
      <w:color w:val="666666"/>
      <w:sz w:val="22"/>
      <w:szCs w:val="22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Arial" w:cs="Arial" w:eastAsia="Arial" w:hAnsi="Arial"/>
      <w:i/>
      <w:iCs/>
      <w:color w:val="666666"/>
      <w:sz w:val="22"/>
      <w:szCs w:val="22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Arial" w:cs="Arial" w:eastAsia="Arial" w:hAnsi="Arial"/>
      <w:color w:val="00000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Arial" w:cs="Arial" w:eastAsia="Arial" w:hAnsi="Arial"/>
      <w:i/>
      <w:iCs/>
      <w:color w:val="00000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Arial" w:cs="Arial" w:eastAsia="Arial" w:hAnsi="Arial"/>
      <w:color w:val="000000"/>
    </w:rPr>
  </w:style>
  <w:style w:styleId="BlockText" w:type="paragraph">
    <w:name w:val="Block Text"/>
    <w:basedOn w:val="BodyText"/>
    <w:pPr>
      <w:pBdr>
        <w:left w:color="BFBFBF" w:space="4" w:sz="24" w:val="single"/>
      </w:pBdr>
      <w:ind w:left="360"/>
    </w:pPr>
    <w:rPr>
      <w:color w:val="595959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eastAsia="Courier New" w:hAnsi="Courier New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1155CC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  <w:rPr>
      <w:rFonts w:ascii="Courier New" w:cs="Courier New" w:eastAsia="Courier New" w:hAnsi="Courier New"/>
    </w:r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rial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2026-09-22T07:34:43Z</dcterms:created>
  <dcterms:modified xsi:type="dcterms:W3CDTF">2026-09-22T07:34:43Z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