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043ca4873a64705" /></Relationships>
</file>

<file path=word/document.xml><?xml version="1.0" encoding="utf-8"?>
<w:document xmlns:w="http://schemas.openxmlformats.org/wordprocessingml/2006/main">
  <w:body>
    <w:p>
      <w:r>
        <w:rPr>
          <w:b/>
          <w:sz w:val="48"/>
        </w:rPr>
        <w:t>Tài liệu học tập: Thiết kế Cơ sở dữ liệu và Chuẩn hóa</w:t>
      </w:r>
    </w:p>
    <w:p>
      <w:r>
        <w:rPr>
          <w:b/>
          <w:sz w:val="32"/>
        </w:rPr>
        <w:t>1. Quá trình Chuẩn hóa Cơ sở dữ liệu (Normalization)</w:t>
      </w:r>
    </w:p>
    <w:p>
      <w:r>
        <w:rPr>
          <w:sz w:val="24"/>
        </w:rPr>
        <w:t>Chuẩn hóa là kỹ thuật thiết kế cơ sở dữ liệu quan hệ nhằm giảm thiểu dư thừa dữ liệu và tránh các dị thường (anomalies) khi thêm, sửa, xóa dữ liệu. Quá trình này bao gồm việc phân rã các bảng lớn thành các bảng nhỏ hơn và liên kết chúng lại bằng khóa ngoại.</w:t>
      </w:r>
    </w:p>
    <w:p>
      <w:r>
        <w:rPr>
          <w:sz w:val="24"/>
        </w:rPr>
        <w:t>Dạng chuẩn 1 (1NF) yêu cầu tất cả các cột chỉ chứa giá trị nguyên tố (nguyên tử) và không có nhóm lặp lại. Dạng chuẩn 2 (2NF) yêu cầu bảng đạt 1NF và mọi thuộc tính không khóa phải phụ thuộc hàm đầy đủ vào khóa chính (loại bỏ phụ thuộc một phần). Dạng chuẩn 3 (3NF) yêu cầu đạt 2NF và loại bỏ các phụ thuộc bắc cầu giữa các thuộc tính không khóa.</w:t>
      </w:r>
    </w:p>
    <w:p>
      <w:r>
        <w:rPr>
          <w:b/>
          <w:sz w:val="32"/>
        </w:rPr>
        <w:t>2. Khóa ngoại và Ràng buộc toàn vẹn</w:t>
      </w:r>
    </w:p>
    <w:p>
      <w:r>
        <w:rPr>
          <w:sz w:val="24"/>
        </w:rPr>
        <w:t>Ràng buộc toàn vẹn là các quy tắc đảm bảo tính chính xác và nhất quán của dữ liệu trong cơ sở dữ liệu. Khóa ngoại (Foreign Key) thiết lập mối quan hệ giữa hai bảng, đảm bảo rằng giá trị trong cột khóa ngoại phải tồn tại trong bảng đích tham chiếu (Toàn vẹn tham chiếu).</w:t>
      </w:r>
    </w:p>
    <w:p>
      <w:r>
        <w:rPr>
          <w:sz w:val="24"/>
        </w:rPr>
        <w:t>Các hành động khi thay đổi dữ liệu khóa ngoại bao gồm CASCADE (tự động cập nhật hoặc xóa dòng liên quan), SET NULL (đặt giá trị liên quan thành NULL), hoặc RESTRICT/NO ACTION (ngăn cản hành động xóa nếu có dòng liên quan).</w:t>
      </w:r>
    </w:p>
    <w:p>
      <w:r>
        <w:rPr>
          <w:b/>
          <w:sz w:val="32"/>
        </w:rPr>
        <w:t>3. Index và Tối ưu hóa truy vấn</w:t>
      </w:r>
    </w:p>
    <w:p>
      <w:r>
        <w:rPr>
          <w:sz w:val="24"/>
        </w:rPr>
        <w:t>Index (Chỉ mục) giống như mục lục của một cuốn sách, giúp hệ quản trị cơ sở dữ liệu (DBMS) tìm kiếm các bản ghi nhanh chóng mà không cần phải quét toàn bộ bảng (Table Scan). Clustered Index sắp xếp vật lý các dòng dữ liệu trong bảng theo thứ tự khóa chỉ mục (chỉ có duy nhất 1 chỉ mục cụm trên mỗi bảng). Non-Clustered Index tạo cấu trúc chỉ mục riêng biệt chứa các con trỏ trỏ đến dòng dữ liệu thực tế.</w:t>
      </w:r>
    </w:p>
  </w:body>
</w:document>
</file>