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CỘNG HÒA XÃ HỘI CHỦ NGHĨA VIỆT NAM</w:t>
      </w:r>
    </w:p>
    <w:p>
      <w:r>
        <w:t>Độc lập - Tự do - Hạnh phúc</w:t>
      </w:r>
    </w:p>
    <w:p>
      <w:r>
        <w:t>QUYẾT ĐỊNH</w:t>
      </w:r>
    </w:p>
    <w:p>
      <w:r>
        <w:t>Về việc ban hành quy chế làm việc của cơ quan</w:t>
      </w:r>
    </w:p>
    <w:p>
      <w:r>
        <w:t>Căn cứ Nghị định số 30/2020/NĐ-CP ngày 05 tháng 3 năm 2020 của Chính phủ về công tác văn thư.</w:t>
      </w:r>
    </w:p>
    <w:p>
      <w:r>
        <w:t>Điều 1. Ban hành kèm theo Quyết định này Quy chế làm việc mới áp dụng cho toàn thể cán bộ, nhân viên.</w:t>
      </w:r>
    </w:p>
    <w:p>
      <w:r>
        <w:t>Điều 2. Quyết định này có hiệu lực thi hành kể từ ngày ký.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