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KHUNG NĂNG LỰC SỐ ĐỐI VỚI GIÁO VIÊN, CÁN BỘ QUẢN LÍ</w:t>
      </w:r>
    </w:p>
    <w:p>
      <w:pPr>
        <w:spacing w:after="40"/>
        <w:jc w:val="center"/>
      </w:pPr>
      <w:r>
        <w:rPr>
          <w:b/>
          <w:bCs/>
          <w:color w:val="2E5395"/>
          <w:sz w:val="26"/>
          <w:szCs w:val="26"/>
        </w:rPr>
        <w:t xml:space="preserve">CƠ SỞ GIÁO DỤC MẦM NON, PHỔ THÔNG VÀ GIÁO DỤC THƯỜNG XUYÊN</w:t>
      </w:r>
    </w:p>
    <w:p>
      <w:pPr>
        <w:spacing w:after="300"/>
        <w:jc w:val="center"/>
      </w:pPr>
      <w:r>
        <w:rPr>
          <w:i/>
          <w:iCs/>
          <w:color w:val="666666"/>
          <w:sz w:val="21"/>
          <w:szCs w:val="21"/>
        </w:rPr>
        <w:t xml:space="preserve">Theo Thông tư số 18/2026/TT-BGDĐT — Ban hành 27/3/2026, hiệu lực từ 12/5/2026</w:t>
      </w:r>
    </w:p>
    <w:p>
      <w:pPr>
        <w:pStyle w:val="Heading1"/>
        <w:spacing w:after="160" w:before="320"/>
      </w:pPr>
      <w:r>
        <w:rPr>
          <w:b/>
          <w:bCs/>
          <w:color w:val="1F3864"/>
          <w:sz w:val="30"/>
          <w:szCs w:val="30"/>
        </w:rPr>
        <w:t xml:space="preserve">I. Thông tin chung</w:t>
      </w:r>
    </w:p>
    <w:p>
      <w:pPr>
        <w:pStyle w:val="ListParagraph"/>
        <w:numPr>
          <w:ilvl w:val="0"/>
          <w:numId w:val="1"/>
        </w:numPr>
        <w:spacing w:after="60"/>
      </w:pPr>
      <w:r>
        <w:rPr>
          <w:sz w:val="21"/>
          <w:szCs w:val="21"/>
        </w:rPr>
        <w:t xml:space="preserve">Ban hành: ngày 27/3/2026, bởi Bộ trưởng Bộ Giáo dục và Đào tạo.</w:t>
      </w:r>
    </w:p>
    <w:p>
      <w:pPr>
        <w:pStyle w:val="ListParagraph"/>
        <w:numPr>
          <w:ilvl w:val="0"/>
          <w:numId w:val="1"/>
        </w:numPr>
        <w:spacing w:after="60"/>
      </w:pPr>
      <w:r>
        <w:rPr>
          <w:sz w:val="21"/>
          <w:szCs w:val="21"/>
        </w:rPr>
        <w:t xml:space="preserve">Hiệu lực thi hành: từ ngày 12/5/2026.</w:t>
      </w:r>
    </w:p>
    <w:p>
      <w:pPr>
        <w:pStyle w:val="ListParagraph"/>
        <w:numPr>
          <w:ilvl w:val="0"/>
          <w:numId w:val="1"/>
        </w:numPr>
        <w:spacing w:after="60"/>
      </w:pPr>
      <w:r>
        <w:rPr>
          <w:sz w:val="21"/>
          <w:szCs w:val="21"/>
        </w:rPr>
        <w:t xml:space="preserve">Đối tượng áp dụng: giáo viên, cán bộ quản lí cơ sở giáo dục mầm non, phổ thông và giáo dục thường xuyên; các tổ chức, cá nhân liên quan.</w:t>
      </w:r>
    </w:p>
    <w:p>
      <w:pPr>
        <w:pStyle w:val="ListParagraph"/>
        <w:numPr>
          <w:ilvl w:val="0"/>
          <w:numId w:val="1"/>
        </w:numPr>
        <w:spacing w:after="60"/>
      </w:pPr>
      <w:r>
        <w:rPr>
          <w:sz w:val="21"/>
          <w:szCs w:val="21"/>
        </w:rPr>
        <w:t xml:space="preserve">Cấu trúc: 06 miền năng lực, 20 năng lực thành phần, mỗi năng lực chia theo 3 mức độ: Cơ bản – Thành thạo – Nâng cao.</w:t>
      </w:r>
    </w:p>
    <w:p>
      <w:pPr>
        <w:pStyle w:val="ListParagraph"/>
        <w:numPr>
          <w:ilvl w:val="0"/>
          <w:numId w:val="1"/>
        </w:numPr>
        <w:spacing w:after="60"/>
      </w:pPr>
      <w:r>
        <w:rPr>
          <w:sz w:val="21"/>
          <w:szCs w:val="21"/>
        </w:rPr>
        <w:t xml:space="preserve">Mục đích: làm căn cứ xây dựng chương trình đào tạo/bồi dưỡng; để giáo viên, cán bộ quản lí tự đánh giá và xác định nhu cầu bồi dưỡng; bảo đảm thống nhất yêu cầu năng lực số toàn ngành.</w:t>
      </w:r>
    </w:p>
    <w:p>
      <w:pPr>
        <w:pStyle w:val="Heading1"/>
        <w:spacing w:after="160" w:before="320"/>
      </w:pPr>
      <w:r>
        <w:rPr>
          <w:b/>
          <w:bCs/>
          <w:color w:val="1F3864"/>
          <w:sz w:val="30"/>
          <w:szCs w:val="30"/>
        </w:rPr>
        <w:t xml:space="preserve">II. Cấu trúc Khung năng lực số — 6 miền, 20 năng lực thành phần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200"/>
      </w:tblGrid>
      <w:tr>
        <w:trPr>
          <w:tblHeader/>
        </w:trPr>
        <w:tc>
          <w:tcPr>
            <w:tcW w:type="dxa" w:w="1300"/>
            <w:shd w:fill="1F3864" w:val="clear"/>
            <w:tcMar>
              <w:top w:type="dxa" w:w="80"/>
              <w:left w:type="dxa" w:w="100"/>
              <w:bottom w:type="dxa" w:w="80"/>
              <w:right w:type="dxa" w:w="100"/>
            </w:tcMar>
            <w:vAlign w:val="center"/>
          </w:tcPr>
          <w:p>
            <w:pPr>
              <w:jc w:val="left"/>
            </w:pPr>
            <w:r>
              <w:rPr>
                <w:b/>
                <w:bCs/>
                <w:color w:val="FFFFFF"/>
                <w:sz w:val="20"/>
                <w:szCs w:val="20"/>
              </w:rPr>
              <w:t xml:space="preserve">Miền / NLTP</w:t>
            </w:r>
          </w:p>
        </w:tc>
        <w:tc>
          <w:tcPr>
            <w:tcW w:type="dxa" w:w="3300"/>
            <w:shd w:fill="1F3864" w:val="clear"/>
            <w:tcMar>
              <w:top w:type="dxa" w:w="80"/>
              <w:left w:type="dxa" w:w="100"/>
              <w:bottom w:type="dxa" w:w="80"/>
              <w:right w:type="dxa" w:w="100"/>
            </w:tcMar>
            <w:vAlign w:val="center"/>
          </w:tcPr>
          <w:p>
            <w:pPr>
              <w:jc w:val="left"/>
            </w:pPr>
            <w:r>
              <w:rPr>
                <w:b/>
                <w:bCs/>
                <w:color w:val="FFFFFF"/>
                <w:sz w:val="20"/>
                <w:szCs w:val="20"/>
              </w:rPr>
              <w:t xml:space="preserve">Tên năng lực thành phần</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Mô tả</w:t>
            </w:r>
          </w:p>
        </w:tc>
      </w:tr>
      <w:tr>
        <w:tc>
          <w:tcPr>
            <w:tcW w:type="dxa" w:w="1300"/>
            <w:shd w:fill="DDEBF7" w:val="clear"/>
            <w:tcMar>
              <w:top w:type="dxa" w:w="80"/>
              <w:left w:type="dxa" w:w="100"/>
              <w:bottom w:type="dxa" w:w="80"/>
              <w:right w:type="dxa" w:w="100"/>
            </w:tcMar>
            <w:vAlign w:val="center"/>
          </w:tcPr>
          <w:p>
            <w:pPr>
              <w:jc w:val="left"/>
            </w:pPr>
            <w:r>
              <w:rPr>
                <w:b/>
                <w:bCs/>
                <w:color w:val="000000"/>
                <w:sz w:val="20"/>
                <w:szCs w:val="20"/>
              </w:rPr>
              <w:t xml:space="preserve">Miền 1</w:t>
            </w:r>
          </w:p>
        </w:tc>
        <w:tc>
          <w:tcPr>
            <w:tcW w:type="dxa" w:w="3300"/>
            <w:shd w:fill="DDEBF7" w:val="clear"/>
            <w:tcMar>
              <w:top w:type="dxa" w:w="80"/>
              <w:left w:type="dxa" w:w="100"/>
              <w:bottom w:type="dxa" w:w="80"/>
              <w:right w:type="dxa" w:w="100"/>
            </w:tcMar>
            <w:vAlign w:val="center"/>
          </w:tcPr>
          <w:p>
            <w:pPr>
              <w:jc w:val="left"/>
            </w:pPr>
            <w:r>
              <w:rPr>
                <w:b/>
                <w:bCs/>
                <w:color w:val="000000"/>
                <w:sz w:val="19"/>
                <w:szCs w:val="19"/>
              </w:rPr>
              <w:t xml:space="preserve">TỔ CHỨC DẠY HỌC, GIÁO DỤC TRONG MÔI TRƯỜNG SỐ</w:t>
            </w:r>
          </w:p>
        </w:tc>
        <w:tc>
          <w:tcPr>
            <w:tcW w:type="dxa" w:w="5200"/>
            <w:shd w:fill="DDEBF7" w:val="clear"/>
            <w:tcMar>
              <w:top w:type="dxa" w:w="80"/>
              <w:left w:type="dxa" w:w="100"/>
              <w:bottom w:type="dxa" w:w="80"/>
              <w:right w:type="dxa" w:w="100"/>
            </w:tcMar>
            <w:vAlign w:val="center"/>
          </w:tcPr>
          <w:p>
            <w:pPr>
              <w:jc w:val="left"/>
            </w:pPr>
            <w:r>
              <w:rPr>
                <w:b w:val="false"/>
                <w:bCs w:val="false"/>
                <w:color w:val="333333"/>
                <w:sz w:val="19"/>
                <w:szCs w:val="19"/>
              </w:rPr>
              <w:t xml:space="preserve">Giáo viên thiết kế, triển khai, tổ chức và quản lý sử dụng công nghệ số trong quá trình dạy học, giáo dục để nâng cao hiệu quả, đổi mới phương pháp nhằm thực hiện mục tiêu giáo dục.</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1.1</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Dạy học và giáo dục trong môi trường số</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Thiết kế, tổ chức các hoạt động dạy học, giáo dục, quản lý và đánh giá đa dạng, hiệu quả trong môi trường mạng thông qua hạ tầng công nghệ số.</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Hướng dẫn, hỗ trợ học tập</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Sử dụng giải pháp, công cụ và nền tảng số để hướng dẫn, hỗ trợ người học trong quá trình học tập và tự học.</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1.3</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Cá nhân hóa người học</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Ứng dụng công nghệ để điều chỉnh nội dung, phương pháp, tốc độ dạy học phù hợp với nhu cầu, năng lực từng người học/nhóm học.</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1.4</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Học tập cộng tác</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Sử dụng giải pháp, công cụ, nền tảng số để tổ chức hoạt động nhóm, khuyến khích hợp tác, giao tiếp, tương tác giữa người học.</w:t>
            </w:r>
          </w:p>
        </w:tc>
      </w:tr>
      <w:tr>
        <w:tc>
          <w:tcPr>
            <w:tcW w:type="dxa" w:w="1300"/>
            <w:shd w:fill="DDEBF7" w:val="clear"/>
            <w:tcMar>
              <w:top w:type="dxa" w:w="80"/>
              <w:left w:type="dxa" w:w="100"/>
              <w:bottom w:type="dxa" w:w="80"/>
              <w:right w:type="dxa" w:w="100"/>
            </w:tcMar>
            <w:vAlign w:val="center"/>
          </w:tcPr>
          <w:p>
            <w:pPr>
              <w:jc w:val="left"/>
            </w:pPr>
            <w:r>
              <w:rPr>
                <w:b/>
                <w:bCs/>
                <w:color w:val="000000"/>
                <w:sz w:val="20"/>
                <w:szCs w:val="20"/>
              </w:rPr>
              <w:t xml:space="preserve">Miền 2</w:t>
            </w:r>
          </w:p>
        </w:tc>
        <w:tc>
          <w:tcPr>
            <w:tcW w:type="dxa" w:w="3300"/>
            <w:shd w:fill="DDEBF7" w:val="clear"/>
            <w:tcMar>
              <w:top w:type="dxa" w:w="80"/>
              <w:left w:type="dxa" w:w="100"/>
              <w:bottom w:type="dxa" w:w="80"/>
              <w:right w:type="dxa" w:w="100"/>
            </w:tcMar>
            <w:vAlign w:val="center"/>
          </w:tcPr>
          <w:p>
            <w:pPr>
              <w:jc w:val="left"/>
            </w:pPr>
            <w:r>
              <w:rPr>
                <w:b/>
                <w:bCs/>
                <w:color w:val="000000"/>
                <w:sz w:val="19"/>
                <w:szCs w:val="19"/>
              </w:rPr>
              <w:t xml:space="preserve">KIỂM TRA, ĐÁNH GIÁ</w:t>
            </w:r>
          </w:p>
        </w:tc>
        <w:tc>
          <w:tcPr>
            <w:tcW w:type="dxa" w:w="5200"/>
            <w:shd w:fill="DDEBF7" w:val="clear"/>
            <w:tcMar>
              <w:top w:type="dxa" w:w="80"/>
              <w:left w:type="dxa" w:w="100"/>
              <w:bottom w:type="dxa" w:w="80"/>
              <w:right w:type="dxa" w:w="100"/>
            </w:tcMar>
            <w:vAlign w:val="center"/>
          </w:tcPr>
          <w:p>
            <w:pPr>
              <w:jc w:val="left"/>
            </w:pPr>
            <w:r>
              <w:rPr>
                <w:b w:val="false"/>
                <w:bCs w:val="false"/>
                <w:color w:val="333333"/>
                <w:sz w:val="19"/>
                <w:szCs w:val="19"/>
              </w:rPr>
              <w:t xml:space="preserve">Sử dụng công nghệ số trong hình thức, phương pháp, công cụ đánh giá để tăng cường hiệu quả, sự đa dạng và phù hợp của hoạt động kiểm tra, đánh giá.</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2.1</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Phương thức đánh giá</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Ứng dụng công nghệ để thiết kế, triển khai các hình thức kiểm tra đánh giá quá trình và định kì linh hoạt, hiệu quả.</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2.2</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Phân tích kết quả học tập</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Sử dụng công cụ số thu thập, phân tích dữ liệu học tập; theo dõi sự tiến bộ, đánh giá xu hướng học tập, phát hiện vấn đề.</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2.3</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Phản hồi và đánh giá cải tiến</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Sử dụng công cụ số đưa ra phản hồi kịp thời, điều chỉnh phương pháp và kế hoạch dạy học dựa trên kết quả đánh giá.</w:t>
            </w:r>
          </w:p>
        </w:tc>
      </w:tr>
      <w:tr>
        <w:tc>
          <w:tcPr>
            <w:tcW w:type="dxa" w:w="1300"/>
            <w:shd w:fill="DDEBF7" w:val="clear"/>
            <w:tcMar>
              <w:top w:type="dxa" w:w="80"/>
              <w:left w:type="dxa" w:w="100"/>
              <w:bottom w:type="dxa" w:w="80"/>
              <w:right w:type="dxa" w:w="100"/>
            </w:tcMar>
            <w:vAlign w:val="center"/>
          </w:tcPr>
          <w:p>
            <w:pPr>
              <w:jc w:val="left"/>
            </w:pPr>
            <w:r>
              <w:rPr>
                <w:b/>
                <w:bCs/>
                <w:color w:val="000000"/>
                <w:sz w:val="20"/>
                <w:szCs w:val="20"/>
              </w:rPr>
              <w:t xml:space="preserve">Miền 3</w:t>
            </w:r>
          </w:p>
        </w:tc>
        <w:tc>
          <w:tcPr>
            <w:tcW w:type="dxa" w:w="3300"/>
            <w:shd w:fill="DDEBF7" w:val="clear"/>
            <w:tcMar>
              <w:top w:type="dxa" w:w="80"/>
              <w:left w:type="dxa" w:w="100"/>
              <w:bottom w:type="dxa" w:w="80"/>
              <w:right w:type="dxa" w:w="100"/>
            </w:tcMar>
            <w:vAlign w:val="center"/>
          </w:tcPr>
          <w:p>
            <w:pPr>
              <w:jc w:val="left"/>
            </w:pPr>
            <w:r>
              <w:rPr>
                <w:b/>
                <w:bCs/>
                <w:color w:val="000000"/>
                <w:sz w:val="19"/>
                <w:szCs w:val="19"/>
              </w:rPr>
              <w:t xml:space="preserve">TRAO QUYỀN CHO NGƯỜI HỌC</w:t>
            </w:r>
          </w:p>
        </w:tc>
        <w:tc>
          <w:tcPr>
            <w:tcW w:type="dxa" w:w="5200"/>
            <w:shd w:fill="DDEBF7" w:val="clear"/>
            <w:tcMar>
              <w:top w:type="dxa" w:w="80"/>
              <w:left w:type="dxa" w:w="100"/>
              <w:bottom w:type="dxa" w:w="80"/>
              <w:right w:type="dxa" w:w="100"/>
            </w:tcMar>
            <w:vAlign w:val="center"/>
          </w:tcPr>
          <w:p>
            <w:pPr>
              <w:jc w:val="left"/>
            </w:pPr>
            <w:r>
              <w:rPr>
                <w:b w:val="false"/>
                <w:bCs w:val="false"/>
                <w:color w:val="333333"/>
                <w:sz w:val="19"/>
                <w:szCs w:val="19"/>
              </w:rPr>
              <w:t xml:space="preserve">Ứng dụng công nghệ số để thúc đẩy dạy học lấy người học làm trung tâm, tăng cường hòa nhập và sự tham gia tích cực của người học.</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3.1</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Tiếp cận và hòa nhập</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Thiết kế, đảm bảo môi trường học tập số dễ tiếp cận, công bằng, phù hợp mọi đối tượng, kể cả người học có nhu cầu đặc biệt.</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3.2</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Giải quyết vấn đề</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Ứng dụng công nghệ số để phát hiện, xử lí tình huống phát sinh và vấn đề kĩ thuật trong dạy học, hỗ trợ người học.</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3.3</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Khuyến khích sự tham gia tích cực của người học</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Sử dụng công nghệ số tạo hứng thú, động lực, thúc đẩy sự tham gia, tương tác của người học.</w:t>
            </w:r>
          </w:p>
        </w:tc>
      </w:tr>
      <w:tr>
        <w:tc>
          <w:tcPr>
            <w:tcW w:type="dxa" w:w="1300"/>
            <w:shd w:fill="DDEBF7" w:val="clear"/>
            <w:tcMar>
              <w:top w:type="dxa" w:w="80"/>
              <w:left w:type="dxa" w:w="100"/>
              <w:bottom w:type="dxa" w:w="80"/>
              <w:right w:type="dxa" w:w="100"/>
            </w:tcMar>
            <w:vAlign w:val="center"/>
          </w:tcPr>
          <w:p>
            <w:pPr>
              <w:jc w:val="left"/>
            </w:pPr>
            <w:r>
              <w:rPr>
                <w:b/>
                <w:bCs/>
                <w:color w:val="000000"/>
                <w:sz w:val="20"/>
                <w:szCs w:val="20"/>
              </w:rPr>
              <w:t xml:space="preserve">Miền 4</w:t>
            </w:r>
          </w:p>
        </w:tc>
        <w:tc>
          <w:tcPr>
            <w:tcW w:type="dxa" w:w="3300"/>
            <w:shd w:fill="DDEBF7" w:val="clear"/>
            <w:tcMar>
              <w:top w:type="dxa" w:w="80"/>
              <w:left w:type="dxa" w:w="100"/>
              <w:bottom w:type="dxa" w:w="80"/>
              <w:right w:type="dxa" w:w="100"/>
            </w:tcMar>
            <w:vAlign w:val="center"/>
          </w:tcPr>
          <w:p>
            <w:pPr>
              <w:jc w:val="left"/>
            </w:pPr>
            <w:r>
              <w:rPr>
                <w:b/>
                <w:bCs/>
                <w:color w:val="000000"/>
                <w:sz w:val="19"/>
                <w:szCs w:val="19"/>
              </w:rPr>
              <w:t xml:space="preserve">KĨ NĂNG CÔNG NGHỆ SỐ</w:t>
            </w:r>
          </w:p>
        </w:tc>
        <w:tc>
          <w:tcPr>
            <w:tcW w:type="dxa" w:w="5200"/>
            <w:shd w:fill="DDEBF7" w:val="clear"/>
            <w:tcMar>
              <w:top w:type="dxa" w:w="80"/>
              <w:left w:type="dxa" w:w="100"/>
              <w:bottom w:type="dxa" w:w="80"/>
              <w:right w:type="dxa" w:w="100"/>
            </w:tcMar>
            <w:vAlign w:val="center"/>
          </w:tcPr>
          <w:p>
            <w:pPr>
              <w:jc w:val="left"/>
            </w:pPr>
            <w:r>
              <w:rPr>
                <w:b w:val="false"/>
                <w:bCs w:val="false"/>
                <w:color w:val="333333"/>
                <w:sz w:val="19"/>
                <w:szCs w:val="19"/>
              </w:rPr>
              <w:t xml:space="preserve">Giáo viên cập nhật, ứng dụng thành thạo và phát triển năng lực số một cách sáng tạo, có trách nhiệm và an toàn.</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4.1</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Kĩ năng thông tin và dữ liệu</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Tìm kiếm, sàng lọc, phân loại, đánh giá, quản lý sử dụng thông tin/dữ liệu có đạo đức; hướng dẫn người học đánh giá độ tin cậy, trích dẫn nguồn.</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4.2</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Sáng tạo nội dung số</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Tạo mới, chỉnh sửa, tích hợp các định dạng học liệu số phục vụ dạy học, kiểm tra đánh giá.</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4.3</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An toàn</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Hiểu và áp dụng nguyên tắc bảo mật, an toàn thông tin; bảo vệ dữ liệu cá nhân của người học, bản thân, đồng nghiệp; phòng tránh rủi ro trực tuyến.</w:t>
            </w:r>
          </w:p>
        </w:tc>
      </w:tr>
      <w:tr>
        <w:tc>
          <w:tcPr>
            <w:tcW w:type="dxa" w:w="1300"/>
            <w:shd w:fill="DDEBF7" w:val="clear"/>
            <w:tcMar>
              <w:top w:type="dxa" w:w="80"/>
              <w:left w:type="dxa" w:w="100"/>
              <w:bottom w:type="dxa" w:w="80"/>
              <w:right w:type="dxa" w:w="100"/>
            </w:tcMar>
            <w:vAlign w:val="center"/>
          </w:tcPr>
          <w:p>
            <w:pPr>
              <w:jc w:val="left"/>
            </w:pPr>
            <w:r>
              <w:rPr>
                <w:b/>
                <w:bCs/>
                <w:color w:val="000000"/>
                <w:sz w:val="20"/>
                <w:szCs w:val="20"/>
              </w:rPr>
              <w:t xml:space="preserve">Miền 5</w:t>
            </w:r>
          </w:p>
        </w:tc>
        <w:tc>
          <w:tcPr>
            <w:tcW w:type="dxa" w:w="3300"/>
            <w:shd w:fill="DDEBF7" w:val="clear"/>
            <w:tcMar>
              <w:top w:type="dxa" w:w="80"/>
              <w:left w:type="dxa" w:w="100"/>
              <w:bottom w:type="dxa" w:w="80"/>
              <w:right w:type="dxa" w:w="100"/>
            </w:tcMar>
            <w:vAlign w:val="center"/>
          </w:tcPr>
          <w:p>
            <w:pPr>
              <w:jc w:val="left"/>
            </w:pPr>
            <w:r>
              <w:rPr>
                <w:b/>
                <w:bCs/>
                <w:color w:val="000000"/>
                <w:sz w:val="19"/>
                <w:szCs w:val="19"/>
              </w:rPr>
              <w:t xml:space="preserve">PHÁT TRIỂN CHUYÊN MÔN</w:t>
            </w:r>
          </w:p>
        </w:tc>
        <w:tc>
          <w:tcPr>
            <w:tcW w:type="dxa" w:w="5200"/>
            <w:shd w:fill="DDEBF7" w:val="clear"/>
            <w:tcMar>
              <w:top w:type="dxa" w:w="80"/>
              <w:left w:type="dxa" w:w="100"/>
              <w:bottom w:type="dxa" w:w="80"/>
              <w:right w:type="dxa" w:w="100"/>
            </w:tcMar>
            <w:vAlign w:val="center"/>
          </w:tcPr>
          <w:p>
            <w:pPr>
              <w:jc w:val="left"/>
            </w:pPr>
            <w:r>
              <w:rPr>
                <w:b w:val="false"/>
                <w:bCs w:val="false"/>
                <w:color w:val="333333"/>
                <w:sz w:val="19"/>
                <w:szCs w:val="19"/>
              </w:rPr>
              <w:t xml:space="preserve">Sử dụng công nghệ số để giao tiếp, cộng tác với đồng nghiệp, phụ huynh, người học; tự phát triển chuyên môn liên tục.</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5.1</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Giao tiếp trong tổ chức</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Sử dụng giải pháp, công cụ, nền tảng số để giao tiếp, trao đổi thông tin trong nhà trường và với cha mẹ người học.</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5.2</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Hợp tác phát triển chuyên môn</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Tham gia cộng đồng chuyên môn trực tuyến, khóa học trực tuyến; chia sẻ kinh nghiệm, học hỏi đồng nghiệp qua nền tảng số.</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5.3</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Phát triển, sử dụng, chia sẻ và quản lý học liệu số</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Xây dựng, lưu trữ, chia sẻ, quản lý tài nguyên học liệu số một cách hệ thống, hiệu quả và an toàn.</w:t>
            </w:r>
          </w:p>
        </w:tc>
      </w:tr>
      <w:tr>
        <w:tc>
          <w:tcPr>
            <w:tcW w:type="dxa" w:w="1300"/>
            <w:shd w:fill="DDEBF7" w:val="clear"/>
            <w:tcMar>
              <w:top w:type="dxa" w:w="80"/>
              <w:left w:type="dxa" w:w="100"/>
              <w:bottom w:type="dxa" w:w="80"/>
              <w:right w:type="dxa" w:w="100"/>
            </w:tcMar>
            <w:vAlign w:val="center"/>
          </w:tcPr>
          <w:p>
            <w:pPr>
              <w:jc w:val="left"/>
            </w:pPr>
            <w:r>
              <w:rPr>
                <w:b/>
                <w:bCs/>
                <w:color w:val="000000"/>
                <w:sz w:val="20"/>
                <w:szCs w:val="20"/>
              </w:rPr>
              <w:t xml:space="preserve">Miền 6</w:t>
            </w:r>
          </w:p>
        </w:tc>
        <w:tc>
          <w:tcPr>
            <w:tcW w:type="dxa" w:w="3300"/>
            <w:shd w:fill="DDEBF7" w:val="clear"/>
            <w:tcMar>
              <w:top w:type="dxa" w:w="80"/>
              <w:left w:type="dxa" w:w="100"/>
              <w:bottom w:type="dxa" w:w="80"/>
              <w:right w:type="dxa" w:w="100"/>
            </w:tcMar>
            <w:vAlign w:val="center"/>
          </w:tcPr>
          <w:p>
            <w:pPr>
              <w:jc w:val="left"/>
            </w:pPr>
            <w:r>
              <w:rPr>
                <w:b/>
                <w:bCs/>
                <w:color w:val="000000"/>
                <w:sz w:val="19"/>
                <w:szCs w:val="19"/>
              </w:rPr>
              <w:t xml:space="preserve">TRÍ TUỆ NHÂN TẠO (AI)</w:t>
            </w:r>
          </w:p>
        </w:tc>
        <w:tc>
          <w:tcPr>
            <w:tcW w:type="dxa" w:w="5200"/>
            <w:shd w:fill="DDEBF7" w:val="clear"/>
            <w:tcMar>
              <w:top w:type="dxa" w:w="80"/>
              <w:left w:type="dxa" w:w="100"/>
              <w:bottom w:type="dxa" w:w="80"/>
              <w:right w:type="dxa" w:w="100"/>
            </w:tcMar>
            <w:vAlign w:val="center"/>
          </w:tcPr>
          <w:p>
            <w:pPr>
              <w:jc w:val="left"/>
            </w:pPr>
            <w:r>
              <w:rPr>
                <w:b w:val="false"/>
                <w:bCs w:val="false"/>
                <w:color w:val="333333"/>
                <w:sz w:val="19"/>
                <w:szCs w:val="19"/>
              </w:rPr>
              <w:t xml:space="preserve">Giáo viên ứng dụng, tích hợp AI hiệu quả và có đạo đức vào giảng dạy, hỗ trợ học tập và phát triển chuyên môn. (Miền năng lực hoàn toàn mới)</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6.1</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Tư duy lấy con người làm trung tâm</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Xác định giá trị, thái độ trong tương tác người–AI; ứng dụng AI hỗ trợ, tăng cường dạy học nhưng vẫn giữ vai trò trung tâm của con người.</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6.2</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Đạo đức AI</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Hiểu và tuân thủ nguyên tắc đạo đức khi dùng AI: minh bạch, công bằng, tôn trọng quyền riêng tư, giải thích rõ cho người học.</w:t>
            </w:r>
          </w:p>
        </w:tc>
      </w:tr>
      <w:tr>
        <w:tc>
          <w:tcPr>
            <w:tcW w:type="dxa" w:w="1300"/>
            <w:shd w:fill="FFFFFF" w:val="clear"/>
            <w:tcMar>
              <w:top w:type="dxa" w:w="80"/>
              <w:left w:type="dxa" w:w="100"/>
              <w:bottom w:type="dxa" w:w="80"/>
              <w:right w:type="dxa" w:w="100"/>
            </w:tcMar>
            <w:vAlign w:val="center"/>
          </w:tcPr>
          <w:p>
            <w:pPr>
              <w:jc w:val="center"/>
            </w:pPr>
            <w:r>
              <w:rPr>
                <w:b w:val="false"/>
                <w:bCs w:val="false"/>
                <w:color w:val="000000"/>
                <w:sz w:val="20"/>
                <w:szCs w:val="20"/>
              </w:rPr>
              <w:t xml:space="preserve">6.3</w:t>
            </w:r>
          </w:p>
        </w:tc>
        <w:tc>
          <w:tcPr>
            <w:tcW w:type="dxa" w:w="3300"/>
            <w:shd w:fill="FFFFFF" w:val="clear"/>
            <w:tcMar>
              <w:top w:type="dxa" w:w="80"/>
              <w:left w:type="dxa" w:w="100"/>
              <w:bottom w:type="dxa" w:w="80"/>
              <w:right w:type="dxa" w:w="100"/>
            </w:tcMar>
            <w:vAlign w:val="center"/>
          </w:tcPr>
          <w:p>
            <w:pPr>
              <w:jc w:val="left"/>
            </w:pPr>
            <w:r>
              <w:rPr>
                <w:b/>
                <w:bCs/>
                <w:color w:val="000000"/>
                <w:sz w:val="20"/>
                <w:szCs w:val="20"/>
              </w:rPr>
              <w:t xml:space="preserve">Sư phạm AI</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Tích hợp AI có chủ đích, hiệu quả vào thiết kế dạy học, hỗ trợ học tập, kiểm tra đánh giá và giao tiếp xã hội.</w:t>
            </w:r>
          </w:p>
        </w:tc>
      </w:tr>
      <w:tr>
        <w:tc>
          <w:tcPr>
            <w:tcW w:type="dxa" w:w="1300"/>
            <w:shd w:fill="F2F2F2" w:val="clear"/>
            <w:tcMar>
              <w:top w:type="dxa" w:w="80"/>
              <w:left w:type="dxa" w:w="100"/>
              <w:bottom w:type="dxa" w:w="80"/>
              <w:right w:type="dxa" w:w="100"/>
            </w:tcMar>
            <w:vAlign w:val="center"/>
          </w:tcPr>
          <w:p>
            <w:pPr>
              <w:jc w:val="center"/>
            </w:pPr>
            <w:r>
              <w:rPr>
                <w:b w:val="false"/>
                <w:bCs w:val="false"/>
                <w:color w:val="000000"/>
                <w:sz w:val="20"/>
                <w:szCs w:val="20"/>
              </w:rPr>
              <w:t xml:space="preserve">6.4</w:t>
            </w:r>
          </w:p>
        </w:tc>
        <w:tc>
          <w:tcPr>
            <w:tcW w:type="dxa" w:w="3300"/>
            <w:shd w:fill="F2F2F2" w:val="clear"/>
            <w:tcMar>
              <w:top w:type="dxa" w:w="80"/>
              <w:left w:type="dxa" w:w="100"/>
              <w:bottom w:type="dxa" w:w="80"/>
              <w:right w:type="dxa" w:w="100"/>
            </w:tcMar>
            <w:vAlign w:val="center"/>
          </w:tcPr>
          <w:p>
            <w:pPr>
              <w:jc w:val="left"/>
            </w:pPr>
            <w:r>
              <w:rPr>
                <w:b/>
                <w:bCs/>
                <w:color w:val="000000"/>
                <w:sz w:val="20"/>
                <w:szCs w:val="20"/>
              </w:rPr>
              <w:t xml:space="preserve">AI cho phát triển chuyên môn</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Ứng dụng AI để tự động hóa công việc, cập nhật tài liệu/xu hướng giáo dục, nâng cao chuyên môn, học tập suốt đời.</w:t>
            </w:r>
          </w:p>
        </w:tc>
      </w:tr>
    </w:tbl>
    <w:p>
      <w:pPr>
        <w:spacing w:after="200"/>
      </w:pPr>
      <w:r>
        <w:t xml:space="preserve"/>
      </w:r>
    </w:p>
    <w:p>
      <w:pPr>
        <w:pStyle w:val="Heading1"/>
        <w:spacing w:after="160" w:before="320"/>
      </w:pPr>
      <w:r>
        <w:rPr>
          <w:b/>
          <w:bCs/>
          <w:color w:val="1F3864"/>
          <w:sz w:val="30"/>
          <w:szCs w:val="30"/>
        </w:rPr>
        <w:t xml:space="preserve">III. Bảng so sánh với bản dự thảo trước đó</w:t>
      </w:r>
    </w:p>
    <w:p>
      <w:pPr>
        <w:spacing w:after="160"/>
      </w:pPr>
      <w:r>
        <w:rPr>
          <w:i/>
          <w:iCs/>
          <w:color w:val="666666"/>
          <w:sz w:val="19"/>
          <w:szCs w:val="19"/>
        </w:rPr>
        <w:t xml:space="preserve">So sánh giữa bản dự thảo lấy ý kiến ngày 02/12/2025 (đăng trên Cổng TTĐT Chính phủ) và bản Thông tư chính thức 18/2026/TT-BGDĐT. Ô tô màu xanh lá là nội dung có thay đổi.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41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Nội dung</w:t>
            </w:r>
          </w:p>
        </w:tc>
        <w:tc>
          <w:tcPr>
            <w:tcW w:type="dxa" w:w="3900"/>
            <w:shd w:fill="1F3864" w:val="clear"/>
            <w:tcMar>
              <w:top w:type="dxa" w:w="80"/>
              <w:left w:type="dxa" w:w="100"/>
              <w:bottom w:type="dxa" w:w="80"/>
              <w:right w:type="dxa" w:w="100"/>
            </w:tcMar>
            <w:vAlign w:val="center"/>
          </w:tcPr>
          <w:p>
            <w:pPr>
              <w:jc w:val="left"/>
            </w:pPr>
            <w:r>
              <w:rPr>
                <w:b/>
                <w:bCs/>
                <w:color w:val="FFFFFF"/>
                <w:sz w:val="20"/>
                <w:szCs w:val="20"/>
              </w:rPr>
              <w:t xml:space="preserve">Bản dự thảo (lấy ý kiến 12/2025)</w:t>
            </w:r>
          </w:p>
        </w:tc>
        <w:tc>
          <w:tcPr>
            <w:tcW w:type="dxa" w:w="4100"/>
            <w:shd w:fill="1F3864" w:val="clear"/>
            <w:tcMar>
              <w:top w:type="dxa" w:w="80"/>
              <w:left w:type="dxa" w:w="100"/>
              <w:bottom w:type="dxa" w:w="80"/>
              <w:right w:type="dxa" w:w="100"/>
            </w:tcMar>
            <w:vAlign w:val="center"/>
          </w:tcPr>
          <w:p>
            <w:pPr>
              <w:jc w:val="left"/>
            </w:pPr>
            <w:r>
              <w:rPr>
                <w:b/>
                <w:bCs/>
                <w:color w:val="FFFFFF"/>
                <w:sz w:val="20"/>
                <w:szCs w:val="20"/>
              </w:rPr>
              <w:t xml:space="preserve">Thông tư 18/2026/TT-BGDĐT (chính thức)</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Tên miền 1</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Tổ chức dạy học trong môi trường số</w:t>
            </w:r>
          </w:p>
        </w:tc>
        <w:tc>
          <w:tcPr>
            <w:tcW w:type="dxa" w:w="4100"/>
            <w:shd w:fill="E2EFDA" w:val="clear"/>
            <w:tcMar>
              <w:top w:type="dxa" w:w="80"/>
              <w:left w:type="dxa" w:w="100"/>
              <w:bottom w:type="dxa" w:w="80"/>
              <w:right w:type="dxa" w:w="100"/>
            </w:tcMar>
            <w:vAlign w:val="center"/>
          </w:tcPr>
          <w:p>
            <w:pPr>
              <w:jc w:val="left"/>
            </w:pPr>
            <w:r>
              <w:rPr>
                <w:b w:val="false"/>
                <w:bCs w:val="false"/>
                <w:color w:val="000000"/>
                <w:sz w:val="19"/>
                <w:szCs w:val="19"/>
              </w:rPr>
              <w:t xml:space="preserve">Tổ chức dạy học, GIÁO DỤC trong môi trường số</w:t>
            </w:r>
          </w:p>
        </w:tc>
      </w:tr>
      <w:tr>
        <w:tc>
          <w:tcPr>
            <w:tcW w:type="dxa" w:w="1800"/>
            <w:shd w:fill="F2F2F2" w:val="clear"/>
            <w:tcMar>
              <w:top w:type="dxa" w:w="80"/>
              <w:left w:type="dxa" w:w="100"/>
              <w:bottom w:type="dxa" w:w="80"/>
              <w:right w:type="dxa" w:w="100"/>
            </w:tcMar>
            <w:vAlign w:val="center"/>
          </w:tcPr>
          <w:p>
            <w:pPr>
              <w:jc w:val="left"/>
            </w:pPr>
            <w:r>
              <w:rPr>
                <w:b/>
                <w:bCs/>
                <w:color w:val="000000"/>
                <w:sz w:val="19"/>
                <w:szCs w:val="19"/>
              </w:rPr>
              <w:t xml:space="preserve">NLTP 1.1</w:t>
            </w:r>
          </w:p>
        </w:tc>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Dạy và học trong môi trường số</w:t>
            </w:r>
          </w:p>
        </w:tc>
        <w:tc>
          <w:tcPr>
            <w:tcW w:type="dxa" w:w="4100"/>
            <w:shd w:fill="E2EFDA" w:val="clear"/>
            <w:tcMar>
              <w:top w:type="dxa" w:w="80"/>
              <w:left w:type="dxa" w:w="100"/>
              <w:bottom w:type="dxa" w:w="80"/>
              <w:right w:type="dxa" w:w="100"/>
            </w:tcMar>
            <w:vAlign w:val="center"/>
          </w:tcPr>
          <w:p>
            <w:pPr>
              <w:jc w:val="left"/>
            </w:pPr>
            <w:r>
              <w:rPr>
                <w:b w:val="false"/>
                <w:bCs w:val="false"/>
                <w:color w:val="000000"/>
                <w:sz w:val="19"/>
                <w:szCs w:val="19"/>
              </w:rPr>
              <w:t xml:space="preserve">Dạy học và giáo dục trong môi trường số</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NLTP 1.2</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Hướng dẫn, hỗ trợ học tập</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Hướng dẫn, hỗ trợ học tập</w:t>
            </w:r>
          </w:p>
        </w:tc>
      </w:tr>
      <w:tr>
        <w:tc>
          <w:tcPr>
            <w:tcW w:type="dxa" w:w="1800"/>
            <w:shd w:fill="F2F2F2" w:val="clear"/>
            <w:tcMar>
              <w:top w:type="dxa" w:w="80"/>
              <w:left w:type="dxa" w:w="100"/>
              <w:bottom w:type="dxa" w:w="80"/>
              <w:right w:type="dxa" w:w="100"/>
            </w:tcMar>
            <w:vAlign w:val="center"/>
          </w:tcPr>
          <w:p>
            <w:pPr>
              <w:jc w:val="left"/>
            </w:pPr>
            <w:r>
              <w:rPr>
                <w:b/>
                <w:bCs/>
                <w:color w:val="000000"/>
                <w:sz w:val="19"/>
                <w:szCs w:val="19"/>
              </w:rPr>
              <w:t xml:space="preserve">NLTP 1.3</w:t>
            </w:r>
          </w:p>
        </w:tc>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Cá nhân hóa người học</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Cá nhân hóa người học</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NLTP 1.4</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Học tập cộng tác</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Học tập cộng tác</w:t>
            </w:r>
          </w:p>
        </w:tc>
      </w:tr>
      <w:tr>
        <w:tc>
          <w:tcPr>
            <w:tcW w:type="dxa" w:w="1800"/>
            <w:shd w:fill="F2F2F2" w:val="clear"/>
            <w:tcMar>
              <w:top w:type="dxa" w:w="80"/>
              <w:left w:type="dxa" w:w="100"/>
              <w:bottom w:type="dxa" w:w="80"/>
              <w:right w:type="dxa" w:w="100"/>
            </w:tcMar>
            <w:vAlign w:val="center"/>
          </w:tcPr>
          <w:p>
            <w:pPr>
              <w:jc w:val="left"/>
            </w:pPr>
            <w:r>
              <w:rPr>
                <w:b/>
                <w:bCs/>
                <w:color w:val="000000"/>
                <w:sz w:val="19"/>
                <w:szCs w:val="19"/>
              </w:rPr>
              <w:t xml:space="preserve">Miền 2 (3 NLTP)</w:t>
            </w:r>
          </w:p>
        </w:tc>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Kiểm tra, đánh giá — không đổi nội dung</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Kiểm tra, đánh giá — không đổi nội dung</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Miền 3 (3 NLTP)</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Trao quyền cho người học — không đổi nội dung</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Trao quyền cho người học — không đổi nội dung</w:t>
            </w:r>
          </w:p>
        </w:tc>
      </w:tr>
      <w:tr>
        <w:tc>
          <w:tcPr>
            <w:tcW w:type="dxa" w:w="1800"/>
            <w:shd w:fill="F2F2F2" w:val="clear"/>
            <w:tcMar>
              <w:top w:type="dxa" w:w="80"/>
              <w:left w:type="dxa" w:w="100"/>
              <w:bottom w:type="dxa" w:w="80"/>
              <w:right w:type="dxa" w:w="100"/>
            </w:tcMar>
            <w:vAlign w:val="center"/>
          </w:tcPr>
          <w:p>
            <w:pPr>
              <w:jc w:val="left"/>
            </w:pPr>
            <w:r>
              <w:rPr>
                <w:b/>
                <w:bCs/>
                <w:color w:val="000000"/>
                <w:sz w:val="19"/>
                <w:szCs w:val="19"/>
              </w:rPr>
              <w:t xml:space="preserve">Miền 4 (3 NLTP)</w:t>
            </w:r>
          </w:p>
        </w:tc>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Kỹ năng công nghệ số — không đổi nội dung</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Kĩ năng công nghệ số — không đổi nội dung</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NLTP 5.3</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Phát triển, sử dụng, chia sẻ và quản lí học liệu số (hệ thống, hiệu quả)</w:t>
            </w:r>
          </w:p>
        </w:tc>
        <w:tc>
          <w:tcPr>
            <w:tcW w:type="dxa" w:w="4100"/>
            <w:shd w:fill="E2EFDA" w:val="clear"/>
            <w:tcMar>
              <w:top w:type="dxa" w:w="80"/>
              <w:left w:type="dxa" w:w="100"/>
              <w:bottom w:type="dxa" w:w="80"/>
              <w:right w:type="dxa" w:w="100"/>
            </w:tcMar>
            <w:vAlign w:val="center"/>
          </w:tcPr>
          <w:p>
            <w:pPr>
              <w:jc w:val="left"/>
            </w:pPr>
            <w:r>
              <w:rPr>
                <w:b w:val="false"/>
                <w:bCs w:val="false"/>
                <w:color w:val="000000"/>
                <w:sz w:val="19"/>
                <w:szCs w:val="19"/>
              </w:rPr>
              <w:t xml:space="preserve">Phát triển, sử dụng, chia sẻ và quản lý học liệu số (hệ thống, hiệu quả VÀ AN TOÀN)</w:t>
            </w:r>
          </w:p>
        </w:tc>
      </w:tr>
      <w:tr>
        <w:tc>
          <w:tcPr>
            <w:tcW w:type="dxa" w:w="1800"/>
            <w:shd w:fill="F2F2F2" w:val="clear"/>
            <w:tcMar>
              <w:top w:type="dxa" w:w="80"/>
              <w:left w:type="dxa" w:w="100"/>
              <w:bottom w:type="dxa" w:w="80"/>
              <w:right w:type="dxa" w:w="100"/>
            </w:tcMar>
            <w:vAlign w:val="center"/>
          </w:tcPr>
          <w:p>
            <w:pPr>
              <w:jc w:val="left"/>
            </w:pPr>
            <w:r>
              <w:rPr>
                <w:b/>
                <w:bCs/>
                <w:color w:val="000000"/>
                <w:sz w:val="19"/>
                <w:szCs w:val="19"/>
              </w:rPr>
              <w:t xml:space="preserve">Miền 6 (4 NLTP)</w:t>
            </w:r>
          </w:p>
        </w:tc>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Trí tuệ nhân tạo (AI) — đã có trong dự thảo 12/2025</w:t>
            </w:r>
          </w:p>
        </w:tc>
        <w:tc>
          <w:tcPr>
            <w:tcW w:type="dxa" w:w="41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Trí tuệ nhân tạo (AI) — giữ nguyên, chính thức hóa</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Số miền năng lực</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6 miền</w:t>
            </w:r>
          </w:p>
        </w:tc>
        <w:tc>
          <w:tcPr>
            <w:tcW w:type="dxa" w:w="41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6 miền</w:t>
            </w:r>
          </w:p>
        </w:tc>
      </w:tr>
      <w:tr>
        <w:tc>
          <w:tcPr>
            <w:tcW w:type="dxa" w:w="1800"/>
            <w:shd w:fill="F2F2F2" w:val="clear"/>
            <w:tcMar>
              <w:top w:type="dxa" w:w="80"/>
              <w:left w:type="dxa" w:w="100"/>
              <w:bottom w:type="dxa" w:w="80"/>
              <w:right w:type="dxa" w:w="100"/>
            </w:tcMar>
            <w:vAlign w:val="center"/>
          </w:tcPr>
          <w:p>
            <w:pPr>
              <w:jc w:val="left"/>
            </w:pPr>
            <w:r>
              <w:rPr>
                <w:b/>
                <w:bCs/>
                <w:color w:val="000000"/>
                <w:sz w:val="19"/>
                <w:szCs w:val="19"/>
              </w:rPr>
              <w:t xml:space="preserve">Số năng lực thành phần</w:t>
            </w:r>
          </w:p>
        </w:tc>
        <w:tc>
          <w:tcPr>
            <w:tcW w:type="dxa" w:w="39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19–24 (tùy phiên bản dự thảo/tài liệu tập huấn)*</w:t>
            </w:r>
          </w:p>
        </w:tc>
        <w:tc>
          <w:tcPr>
            <w:tcW w:type="dxa" w:w="4100"/>
            <w:shd w:fill="E2EFDA" w:val="clear"/>
            <w:tcMar>
              <w:top w:type="dxa" w:w="80"/>
              <w:left w:type="dxa" w:w="100"/>
              <w:bottom w:type="dxa" w:w="80"/>
              <w:right w:type="dxa" w:w="100"/>
            </w:tcMar>
            <w:vAlign w:val="center"/>
          </w:tcPr>
          <w:p>
            <w:pPr>
              <w:jc w:val="left"/>
            </w:pPr>
            <w:r>
              <w:rPr>
                <w:b w:val="false"/>
                <w:bCs w:val="false"/>
                <w:color w:val="000000"/>
                <w:sz w:val="19"/>
                <w:szCs w:val="19"/>
              </w:rPr>
              <w:t xml:space="preserve">20 (chính thức, thống nhất toàn quốc)</w:t>
            </w:r>
          </w:p>
        </w:tc>
      </w:tr>
      <w:tr>
        <w:tc>
          <w:tcPr>
            <w:tcW w:type="dxa" w:w="1800"/>
            <w:shd w:fill="FFFFFF" w:val="clear"/>
            <w:tcMar>
              <w:top w:type="dxa" w:w="80"/>
              <w:left w:type="dxa" w:w="100"/>
              <w:bottom w:type="dxa" w:w="80"/>
              <w:right w:type="dxa" w:w="100"/>
            </w:tcMar>
            <w:vAlign w:val="center"/>
          </w:tcPr>
          <w:p>
            <w:pPr>
              <w:jc w:val="left"/>
            </w:pPr>
            <w:r>
              <w:rPr>
                <w:b/>
                <w:bCs/>
                <w:color w:val="000000"/>
                <w:sz w:val="19"/>
                <w:szCs w:val="19"/>
              </w:rPr>
              <w:t xml:space="preserve">Căn cứ pháp lý</w:t>
            </w:r>
          </w:p>
        </w:tc>
        <w:tc>
          <w:tcPr>
            <w:tcW w:type="dxa" w:w="39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Dự thảo lấy ý kiến (chưa có hiệu lực)</w:t>
            </w:r>
          </w:p>
        </w:tc>
        <w:tc>
          <w:tcPr>
            <w:tcW w:type="dxa" w:w="4100"/>
            <w:shd w:fill="E2EFDA" w:val="clear"/>
            <w:tcMar>
              <w:top w:type="dxa" w:w="80"/>
              <w:left w:type="dxa" w:w="100"/>
              <w:bottom w:type="dxa" w:w="80"/>
              <w:right w:type="dxa" w:w="100"/>
            </w:tcMar>
            <w:vAlign w:val="center"/>
          </w:tcPr>
          <w:p>
            <w:pPr>
              <w:jc w:val="left"/>
            </w:pPr>
            <w:r>
              <w:rPr>
                <w:b w:val="false"/>
                <w:bCs w:val="false"/>
                <w:color w:val="000000"/>
                <w:sz w:val="19"/>
                <w:szCs w:val="19"/>
              </w:rPr>
              <w:t xml:space="preserve">Thông tư 18/2026/TT-BGDĐT, ban hành 27/3/2026, hiệu lực 12/5/2026</w:t>
            </w:r>
          </w:p>
        </w:tc>
      </w:tr>
    </w:tbl>
    <w:p>
      <w:pPr>
        <w:spacing w:after="200"/>
      </w:pPr>
      <w:r>
        <w:t xml:space="preserve"/>
      </w:r>
    </w:p>
    <w:p>
      <w:pPr>
        <w:pStyle w:val="Heading2"/>
        <w:spacing w:after="120" w:before="260"/>
      </w:pPr>
      <w:r>
        <w:rPr>
          <w:b/>
          <w:bCs/>
          <w:color w:val="2E5395"/>
          <w:sz w:val="25"/>
          <w:szCs w:val="25"/>
        </w:rPr>
        <w:t xml:space="preserve">Nhận xét chung</w:t>
      </w:r>
    </w:p>
    <w:p>
      <w:pPr>
        <w:pStyle w:val="ListParagraph"/>
        <w:numPr>
          <w:ilvl w:val="0"/>
          <w:numId w:val="1"/>
        </w:numPr>
        <w:spacing w:after="60"/>
      </w:pPr>
      <w:r>
        <w:rPr>
          <w:sz w:val="21"/>
          <w:szCs w:val="21"/>
        </w:rPr>
        <w:t xml:space="preserve">Về cấu trúc tổng thể: bản dự thảo và bản chính thức GIỐNG NHAU gần như hoàn toàn — cùng 6 miền năng lực, cùng tên gọi và nội dung mô tả của phần lớn năng lực thành phần (đặc biệt các Miền 2, 3, 4, 6 không có thay đổi đáng kể).</w:t>
      </w:r>
    </w:p>
    <w:p>
      <w:pPr>
        <w:pStyle w:val="ListParagraph"/>
        <w:numPr>
          <w:ilvl w:val="0"/>
          <w:numId w:val="1"/>
        </w:numPr>
        <w:spacing w:after="60"/>
      </w:pPr>
      <w:r>
        <w:rPr>
          <w:sz w:val="21"/>
          <w:szCs w:val="21"/>
        </w:rPr>
        <w:t xml:space="preserve">Thay đổi chủ yếu là chỉnh sửa câu chữ/tên gọi cho chính xác hơn: ví dụ tên Miền 1 được bổ sung từ "giáo dục" (từ "Tổ chức dạy học trong môi trường số" → "Tổ chức dạy học, giáo dục trong môi trường số"); năng lực 5.3 được bổ sung yêu cầu "an toàn" khi quản lý học liệu số.</w:t>
      </w:r>
    </w:p>
    <w:p>
      <w:pPr>
        <w:pStyle w:val="ListParagraph"/>
        <w:numPr>
          <w:ilvl w:val="0"/>
          <w:numId w:val="1"/>
        </w:numPr>
        <w:spacing w:after="60"/>
      </w:pPr>
      <w:r>
        <w:rPr>
          <w:sz w:val="21"/>
          <w:szCs w:val="21"/>
        </w:rPr>
        <w:t xml:space="preserve">Miền 6 – Trí tuệ nhân tạo (AI) đã xuất hiện trong dự thảo và được giữ nguyên khi ban hành chính thức — đây là điểm mới lớn nhất so với các khung năng lực số trước Thông tư này (trước đó chưa từng có miền AI riêng).</w:t>
      </w:r>
    </w:p>
    <w:p>
      <w:pPr>
        <w:pStyle w:val="Heading2"/>
        <w:spacing w:after="120" w:before="260"/>
      </w:pPr>
      <w:r>
        <w:rPr>
          <w:b/>
          <w:bCs/>
          <w:color w:val="2E5395"/>
          <w:sz w:val="25"/>
          <w:szCs w:val="25"/>
        </w:rPr>
        <w:t xml:space="preserve">Lưu ý quan trọng về số liệu 24 năng lực thành phần</w:t>
      </w:r>
    </w:p>
    <w:p>
      <w:pPr>
        <w:spacing w:after="120"/>
      </w:pPr>
      <w:r>
        <w:rPr>
          <w:color w:val="333333"/>
          <w:sz w:val="21"/>
          <w:szCs w:val="21"/>
        </w:rPr>
        <w:t xml:space="preserve">Một số tài liệu tập huấn nội bộ lưu hành tháng 11/2025 (trước khi có bản dự thảo chính thức đăng công khai ngày 02/12/2025) được ghi nhận có 24 năng lực thành phần. Bản dự thảo đăng công khai ngày 02/12/2025 nêu số liệu 19 năng lực thành phần (dù liệt kê chi tiết cho thấy 20 mục). Bản Thông tư chính thức 18/2026/TT-BGDĐT quy định rõ ràng và thống nhất: 6 miền năng lực, 20 năng lực thành phần.</w:t>
      </w:r>
    </w:p>
    <w:p>
      <w:pPr>
        <w:spacing w:after="160"/>
      </w:pPr>
      <w:r>
        <w:rPr>
          <w:i/>
          <w:iCs/>
          <w:color w:val="666666"/>
          <w:sz w:val="19"/>
          <w:szCs w:val="19"/>
        </w:rPr>
        <w:t xml:space="preserve">Ghi chú: nội dung tài liệu tập huấn tháng 11/2025 (bản 24 năng lực thành phần) không được công bố công khai dưới dạng toàn văn nên không thể đối chiếu chi tiết từng mục trong bảng trên. Bảng so sánh ở Mục III sử dụng bản dự thảo công khai gần nhất (02/12/2025) làm mốc đối chiếu với bản chính thức. Khi có nhu cầu đối chiếu chính xác với tài liệu tập huấn nội bộ của đơn vị, đề nghị liên hệ Sở/Phòng Giáo dục và Đào tạo nơi đã tổ chức tập huấn để lấy văn bản gốc.</w:t>
      </w:r>
    </w:p>
    <w:p>
      <w:pPr>
        <w:pStyle w:val="Heading2"/>
        <w:spacing w:after="120" w:before="260"/>
      </w:pPr>
      <w:r>
        <w:rPr>
          <w:b/>
          <w:bCs/>
          <w:color w:val="2E5395"/>
          <w:sz w:val="25"/>
          <w:szCs w:val="25"/>
        </w:rPr>
        <w:t xml:space="preserve">Nguồn tham khảo</w:t>
      </w:r>
    </w:p>
    <w:p>
      <w:pPr>
        <w:pStyle w:val="ListParagraph"/>
        <w:numPr>
          <w:ilvl w:val="0"/>
          <w:numId w:val="1"/>
        </w:numPr>
        <w:spacing w:after="60"/>
      </w:pPr>
      <w:r>
        <w:rPr>
          <w:sz w:val="21"/>
          <w:szCs w:val="21"/>
        </w:rPr>
        <w:t xml:space="preserve">Thông tư 18/2026/TT-BGDĐT — Cổng Thông tin điện tử Chính phủ (xaydungchinhsach.chinhphu.vn).</w:t>
      </w:r>
    </w:p>
    <w:p>
      <w:pPr>
        <w:pStyle w:val="ListParagraph"/>
        <w:numPr>
          <w:ilvl w:val="0"/>
          <w:numId w:val="1"/>
        </w:numPr>
        <w:spacing w:after="60"/>
      </w:pPr>
      <w:r>
        <w:rPr>
          <w:sz w:val="21"/>
          <w:szCs w:val="21"/>
        </w:rPr>
        <w:t xml:space="preserve">Toàn văn Thông tư 18/2026/TT-BGDĐT — Thư viện Pháp luật (thuvienphapluat.vn).</w:t>
      </w:r>
    </w:p>
    <w:p>
      <w:pPr>
        <w:pStyle w:val="ListParagraph"/>
        <w:numPr>
          <w:ilvl w:val="0"/>
          <w:numId w:val="1"/>
        </w:numPr>
        <w:spacing w:after="60"/>
      </w:pPr>
      <w:r>
        <w:rPr>
          <w:sz w:val="21"/>
          <w:szCs w:val="21"/>
        </w:rPr>
        <w:t xml:space="preserve">Dự thảo Thông tư (02/12/2025) — Báo Điện tử Chính phủ (baochinhphu.vn).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2026-08-11T13:45:38.659Z</dcterms:created>
  <dcterms:modified xsi:type="dcterms:W3CDTF">2026-08-11T13:45:38.672Z</dcterms:modified>
</cp:coreProperties>
</file>

<file path=docProps/custom.xml><?xml version="1.0" encoding="utf-8"?>
<Properties xmlns="http://schemas.openxmlformats.org/officeDocument/2006/custom-properties" xmlns:vt="http://schemas.openxmlformats.org/officeDocument/2006/docPropsVTypes"/>
</file>