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80"/>
        <w:jc w:val="center"/>
      </w:pPr>
      <w:r>
        <w:rPr>
          <w:rFonts w:ascii="Calibri" w:hAnsi="Calibri"/>
          <w:b/>
          <w:i w:val="0"/>
          <w:color w:val="C18A19"/>
          <w:sz w:val="26"/>
        </w:rPr>
        <w:t>TÀI LIỆU SƠ ĐỒ NGHIỆP VỤ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7365D"/>
          <w:sz w:val="54"/>
        </w:rPr>
        <w:t>SWIMLANE CÁC QUY TRÌNH</w:t>
        <w:br/>
        <w:t>VẬN HÀNH KHO VẬT LIỆU XÂY DỰNG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2E74B5"/>
          <w:sz w:val="28"/>
        </w:rPr>
        <w:t>Hiện trạng đang thực hiện tại kho – As-Is</w:t>
      </w:r>
    </w:p>
    <w:p>
      <w:pPr>
        <w:spacing w:after="600"/>
        <w:ind w:left="1728" w:right="1728"/>
        <w:jc w:val="center"/>
        <w:pBdr>
          <w:bottom w:val="single" w:sz="14" w:space="8" w:color="2E74B5"/>
        </w:pBdr>
      </w:pPr>
    </w:p>
    <w:p>
      <w:pPr>
        <w:spacing w:after="100"/>
        <w:ind w:left="1296" w:right="1296"/>
      </w:pPr>
      <w:r>
        <w:rPr>
          <w:rFonts w:ascii="Calibri" w:hAnsi="Calibri"/>
          <w:b/>
          <w:i w:val="0"/>
          <w:color w:val="17365D"/>
          <w:sz w:val="21"/>
        </w:rPr>
        <w:t xml:space="preserve">Địa điểm khảo sát: </w:t>
      </w:r>
      <w:r>
        <w:rPr>
          <w:rFonts w:ascii="Calibri" w:hAnsi="Calibri"/>
          <w:b w:val="0"/>
          <w:i w:val="0"/>
          <w:color w:val="1F2937"/>
          <w:sz w:val="21"/>
        </w:rPr>
        <w:t>Đại lý Vật liệu Xây dựng Xuân Thành</w:t>
      </w:r>
    </w:p>
    <w:p>
      <w:pPr>
        <w:spacing w:after="100"/>
        <w:ind w:left="1296" w:right="1296"/>
      </w:pPr>
      <w:r>
        <w:rPr>
          <w:rFonts w:ascii="Calibri" w:hAnsi="Calibri"/>
          <w:b/>
          <w:i w:val="0"/>
          <w:color w:val="17365D"/>
          <w:sz w:val="21"/>
        </w:rPr>
        <w:t xml:space="preserve">Đơn vị cung ứng được làm việc: </w:t>
      </w:r>
      <w:r>
        <w:rPr>
          <w:rFonts w:ascii="Calibri" w:hAnsi="Calibri"/>
          <w:b w:val="0"/>
          <w:i w:val="0"/>
          <w:color w:val="1F2937"/>
          <w:sz w:val="21"/>
        </w:rPr>
        <w:t>Đại lý Thắm Thủy</w:t>
      </w:r>
    </w:p>
    <w:p>
      <w:pPr>
        <w:spacing w:after="100"/>
        <w:ind w:left="1296" w:right="1296"/>
      </w:pPr>
      <w:r>
        <w:rPr>
          <w:rFonts w:ascii="Calibri" w:hAnsi="Calibri"/>
          <w:b/>
          <w:i w:val="0"/>
          <w:color w:val="17365D"/>
          <w:sz w:val="21"/>
        </w:rPr>
        <w:t xml:space="preserve">Phạm vi: </w:t>
      </w:r>
      <w:r>
        <w:rPr>
          <w:rFonts w:ascii="Calibri" w:hAnsi="Calibri"/>
          <w:b w:val="0"/>
          <w:i w:val="0"/>
          <w:color w:val="1F2937"/>
          <w:sz w:val="21"/>
        </w:rPr>
        <w:t>Một kho; mua hàng, nhận hàng, lưu kho, bán hàng, xuất hàng và kiểm kê</w:t>
      </w:r>
    </w:p>
    <w:p>
      <w:pPr>
        <w:spacing w:after="100"/>
        <w:ind w:left="1296" w:right="1296"/>
      </w:pPr>
      <w:r>
        <w:rPr>
          <w:rFonts w:ascii="Calibri" w:hAnsi="Calibri"/>
          <w:b/>
          <w:i w:val="0"/>
          <w:color w:val="17365D"/>
          <w:sz w:val="21"/>
        </w:rPr>
        <w:t xml:space="preserve">Cách thể hiện: </w:t>
      </w:r>
      <w:r>
        <w:rPr>
          <w:rFonts w:ascii="Calibri" w:hAnsi="Calibri"/>
          <w:b w:val="0"/>
          <w:i w:val="0"/>
          <w:color w:val="1F2937"/>
          <w:sz w:val="21"/>
        </w:rPr>
        <w:t>Mỗi cột là một người/nhóm công việc; tiến trình đọc từ trên xuống dưới</w:t>
      </w:r>
    </w:p>
    <w:p>
      <w:pPr>
        <w:spacing w:after="100"/>
        <w:ind w:left="1296" w:right="1296"/>
      </w:pPr>
      <w:r>
        <w:rPr>
          <w:rFonts w:ascii="Calibri" w:hAnsi="Calibri"/>
          <w:b/>
          <w:i w:val="0"/>
          <w:color w:val="17365D"/>
          <w:sz w:val="21"/>
        </w:rPr>
        <w:t xml:space="preserve">Phiên bản: </w:t>
      </w:r>
      <w:r>
        <w:rPr>
          <w:rFonts w:ascii="Calibri" w:hAnsi="Calibri"/>
          <w:b w:val="0"/>
          <w:i w:val="0"/>
          <w:color w:val="1F2937"/>
          <w:sz w:val="21"/>
        </w:rPr>
        <w:t>1.0 – 15/07/2026</w:t>
      </w:r>
    </w:p>
    <w:p>
      <w:r>
        <w:br w:type="page"/>
      </w:r>
    </w:p>
    <w:p>
      <w:pPr>
        <w:pStyle w:val="Heading1"/>
      </w:pPr>
      <w:r>
        <w:t>Phạm vi và cách đọc sơ đồ</w:t>
      </w:r>
    </w:p>
    <w:p>
      <w:pPr>
        <w:spacing w:after="200"/>
      </w:pPr>
      <w:r>
        <w:t>Các sơ đồ ghi lại cách công việc đang được thực hiện tại kho. Mỗi bước nằm trong làn của người trực tiếp thực hiện; mũi tên thể hiện trình tự chuyển việc; hình thoi thể hiện điểm phải lựa chọn cách xử lý.</w:t>
      </w:r>
    </w:p>
    <w:p>
      <w:pPr>
        <w:pStyle w:val="Heading2"/>
      </w:pPr>
      <w:r>
        <w:t>Chú giải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050"/>
        <w:gridCol w:w="3630"/>
        <w:gridCol w:w="1050"/>
        <w:gridCol w:w="3630"/>
      </w:tblGrid>
      <w:tr>
        <w:trPr>
          <w:cantSplit/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Ký hiệu</w:t>
            </w:r>
          </w:p>
        </w:tc>
        <w:tc>
          <w:tcPr>
            <w:tcW w:type="dxa" w:w="3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Ý nghĩa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Ký hiệu</w:t>
            </w:r>
          </w:p>
        </w:tc>
        <w:tc>
          <w:tcPr>
            <w:tcW w:type="dxa" w:w="36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Ý nghĩa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●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Bắt đầu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◆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Điểm quyết định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▢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Công việc đang thực hiện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◎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Kết thúc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→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Chuyển bước/chuyển việc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Nét đứt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Ghi chú hoặc xử lý ngoại lệ</w:t>
            </w:r>
          </w:p>
        </w:tc>
      </w:tr>
    </w:tbl>
    <w:p>
      <w:pPr>
        <w:pStyle w:val="Heading2"/>
      </w:pPr>
      <w:r>
        <w:t>Danh mục sơ đồ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SW-01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Tiếp nhận và xử lý yêu cầu mua hàng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khi khách hỏi hàng đến khi kho tập kết và giao hàng.</w:t>
            </w:r>
          </w:p>
        </w:tc>
        <w:tc>
          <w:tcPr>
            <w:tcW w:type="dxa" w:w="468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SW-02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Đặt hàng nhà cung cấp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khi phát hiện hàng thiếu/sắp hết đến khi thông báo lịch nhận hàng cho kho.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SW-03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Nhận hàng từ nhà cung cấp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khi xe đến bãi đến khi xác nhận số thực nhận và chuyển hàng vào khu lưu.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SW-04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Sắp xếp và cất hàng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khu nhận hàng đến vị trí lưu chính hoặc vị trí tạm trong kho.</w:t>
            </w:r>
          </w:p>
        </w:tc>
      </w:tr>
      <w:tr>
        <w:trPr>
          <w:cantSplit/>
        </w:trPr>
        <w:tc>
          <w:tcPr>
            <w:tcW w:type="dxa" w:w="468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SW-05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Tìm, lấy, bốc và giao hàng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phiếu giao đến khi khách nhận hàng hoặc hàng được đưa về lại kho.</w:t>
            </w:r>
          </w:p>
        </w:tc>
        <w:tc>
          <w:tcPr>
            <w:tcW w:type="dxa" w:w="468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SW-06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Kiểm kho và xử lý chênh lệch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khi tổ chức kiểm đếm đến khi chốt số và ghi nhận nguyên nhân.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SW-07  |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Xử lý hàng hỏng, ẩm, vỡ hoặc hết hạn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6"/>
              </w:rPr>
              <w:t>Từ khi phát hiện hàng bất thường đến khi đổi trả, giảm giá, loại bỏ hoặc theo dõi riêng.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p>
      <w:pPr>
        <w:spacing w:before="200" w:after="0"/>
        <w:ind w:left="360" w:right="360"/>
      </w:pPr>
      <w:r>
        <w:rPr>
          <w:rFonts w:ascii="Calibri" w:hAnsi="Calibri"/>
          <w:b/>
          <w:i w:val="0"/>
          <w:color w:val="C00000"/>
          <w:sz w:val="20"/>
        </w:rPr>
        <w:t xml:space="preserve">Lưu ý hiện trạng: </w:t>
      </w:r>
      <w:r>
        <w:rPr>
          <w:rFonts w:ascii="Calibri" w:hAnsi="Calibri"/>
          <w:b w:val="0"/>
          <w:i w:val="0"/>
          <w:color w:val="1F2937"/>
          <w:sz w:val="20"/>
        </w:rPr>
        <w:t>Các giao tiếp trong sơ đồ chủ yếu đang thực hiện bằng lời nói, điện thoại, tin nhắn, phiếu giấy, sổ ghi chép và bảng Excel.</w:t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1" name="Picture 1" title="SW-01 – Tiếp nhận và xử lý yêu cầu mua hàng" descr="Sơ đồ Swimlane hiện trạng: Tiếp nhận và xử lý yêu cầu mua hàng. Từ khi khách hỏi hàng đến khi kho tập kết và giao hà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2" name="Picture 2" title="SW-02 – Đặt hàng nhà cung cấp" descr="Sơ đồ Swimlane hiện trạng: Đặt hàng nhà cung cấp. Từ khi phát hiện hàng thiếu/sắp hết đến khi thông báo lịch nhận hàng cho k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3" name="Picture 3" title="SW-03 – Nhận hàng từ nhà cung cấp" descr="Sơ đồ Swimlane hiện trạng: Nhận hàng từ nhà cung cấp. Từ khi xe đến bãi đến khi xác nhận số thực nhận và chuyển hàng vào khu lư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4" name="Picture 4" title="SW-04 – Sắp xếp và cất hàng" descr="Sơ đồ Swimlane hiện trạng: Sắp xếp và cất hàng. Từ khu nhận hàng đến vị trí lưu chính hoặc vị trí tạm trong k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5" name="Picture 5" title="SW-05 – Tìm, lấy, bốc và giao hàng" descr="Sơ đồ Swimlane hiện trạng: Tìm, lấy, bốc và giao hàng. Từ phiếu giao đến khi khách nhận hàng hoặc hàng được đưa về lại k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6" name="Picture 6" title="SW-06 – Kiểm kho và xử lý chênh lệch" descr="Sơ đồ Swimlane hiện trạng: Kiểm kho và xử lý chênh lệch. Từ khi tổ chức kiểm đếm đến khi chốt số và ghi nhận nguyên nhâ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6347968"/>
            <wp:docPr id="7" name="Picture 7" title="SW-07 – Xử lý hàng hỏng, ẩm, vỡ hoặc hết hạn" descr="Sơ đồ Swimlane hiện trạng: Xử lý hàng hỏng, ẩm, vỡ hoặc hết hạn. Từ khi phát hiện hàng bất thường đến khi đổi trả, giảm giá, loại bỏ hoặc theo dõi riê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3479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935" w:bottom="652" w:left="9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Quy trình thực tế  |  Trang </w:t>
    </w:r>
    <w:r/>
    <w:fldSimple w:instr="PAGE"/>
    <w:r>
      <w:rPr>
        <w:rFonts w:ascii="Calibri" w:hAnsi="Calibri"/>
        <w:b w:val="0"/>
        <w:i w:val="0"/>
        <w:color w:val="66708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CCD6E0"/>
      </w:pBdr>
    </w:pPr>
    <w:r>
      <w:rPr>
        <w:rFonts w:ascii="Calibri" w:hAnsi="Calibri"/>
        <w:b/>
        <w:i w:val="0"/>
        <w:color w:val="667085"/>
        <w:sz w:val="17"/>
      </w:rPr>
      <w:t>SWIMLANE QUY TRÌNH NGHIỆP VỤ THỰC TẾ – KHO VẬT LIỆU XÂY DỰNG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Swimlane các quy trình nghiệp vụ thực tế kho vật liệu xây dựng</dc:title>
  <dc:subject>Quy trình vận hành kho hiện tại – As-Is</dc:subject>
  <dc:creator>Nhóm khảo sát nghiệp vụ</dc:creator>
  <cp:keywords>swimlane, kho vật liệu xây dựng, nghiệp vụ thực tế, as-is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