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60" w:lineRule="exact"/>
        <w:jc w:val="center"/>
      </w:pPr>
      <w:r>
        <w:rPr>
          <w:rFonts w:ascii="Times New Roman" w:hAnsi="Times New Roman"/>
          <w:b/>
          <w:sz w:val="32"/>
        </w:rPr>
        <w:t>Voice Conversion via Codebook Refinement Transformer</w:t>
        <w:br/>
        <w:t>with Curriculum Corruption and Speaker Similarity Regularization</w:t>
      </w:r>
    </w:p>
    <w:p>
      <w:pPr>
        <w:spacing w:after="40"/>
        <w:jc w:val="center"/>
      </w:pPr>
      <w:r>
        <w:rPr>
          <w:rFonts w:ascii="Times New Roman" w:hAnsi="Times New Roman"/>
          <w:sz w:val="24"/>
        </w:rPr>
        <w:t>Nguyen Quocả</w:t>
      </w:r>
    </w:p>
    <w:p>
      <w:pPr>
        <w:spacing w:after="160"/>
        <w:jc w:val="center"/>
      </w:pPr>
      <w:r>
        <w:rPr>
          <w:rFonts w:ascii="Times New Roman" w:hAnsi="Times New Roman"/>
          <w:i/>
          <w:sz w:val="20"/>
        </w:rPr>
        <w:t>University of Information Technology, Vietnam National University Ho Chi Minh City,</w:t>
        <w:br/>
        <w:t>Ho Chi Minh City, Vietnam</w:t>
      </w:r>
    </w:p>
    <w:p>
      <w:pPr>
        <w:spacing w:before="240" w:after="80" w:line="240" w:lineRule="exact"/>
      </w:pPr>
      <w:r>
        <w:rPr>
          <w:rFonts w:ascii="Times New Roman" w:hAnsi="Times New Roman"/>
          <w:b/>
          <w:sz w:val="22"/>
        </w:rPr>
        <w:t>ABSTRACT</w:t>
      </w:r>
    </w:p>
    <w:p>
      <w:pPr>
        <w:spacing w:line="240" w:lineRule="exact" w:after="40"/>
        <w:jc w:val="both"/>
      </w:pPr>
      <w:r>
        <w:rPr>
          <w:rFonts w:ascii="Times New Roman" w:hAnsi="Times New Roman"/>
          <w:sz w:val="20"/>
        </w:rPr>
        <w:t>We present the Codebook Refinement Transformer (CRT), a non-autoregressive model for voice conversion that operates in the discrete token space of the Mimi neural audio codec. Targeting intelligent audio processing applications in modern communication systems, CRT refines FAISS-retrieved codebook tokens through a Conformer-based architecture with FiLM speaker conditioning. Our primary contribution is a curriculum corruption training strategy that progressively increases input noise from 30% to 70% token replacement, enabling robust denoising behavior. We further introduce a Speaker Encoder Cosine Similarity (SECS) regularization loss that explicitly optimizes for speaker identity preservation during training. Evaluated across five source-target speaker pairs sampled from a 2,338-speaker dataset (80.4 hours), the 706M-parameter CRT v5.6 achieves a mean SECS of 0.835, mean Word Error Rate of 15.5%, and mean Mel Cepstral Distortion of 113.9 dB, demonstrating consistent improvements in intelligibility over the FAISS retrieval baseline while maintaining competitive speaker similarity. Ablation studies confirm that curriculum corruption and SECS loss contribute complementary benefits. Audio samples are available at https://nguyenquoc.github.io/crt-voice-conversion/.</w:t>
      </w:r>
    </w:p>
    <w:p>
      <w:pPr>
        <w:spacing w:line="240" w:lineRule="exact" w:after="40"/>
        <w:jc w:val="both"/>
      </w:pPr>
      <w:r>
        <w:rPr>
          <w:rFonts w:ascii="Times New Roman" w:hAnsi="Times New Roman"/>
          <w:b/>
          <w:sz w:val="20"/>
        </w:rPr>
        <w:t xml:space="preserve">Keywords: </w:t>
      </w:r>
      <w:r>
        <w:rPr>
          <w:rFonts w:ascii="Times New Roman" w:hAnsi="Times New Roman"/>
          <w:sz w:val="20"/>
        </w:rPr>
        <w:t>voice conversion, neural audio codec, codebook refinement, conformer, curriculum learning, speaker similarity, FAISS retrieval, intelligent audio processing</w:t>
      </w:r>
    </w:p>
    <w:p>
      <w:pPr>
        <w:spacing w:before="240" w:after="80" w:line="240" w:lineRule="exact"/>
      </w:pPr>
      <w:r>
        <w:rPr>
          <w:rFonts w:ascii="Times New Roman" w:hAnsi="Times New Roman"/>
          <w:b/>
          <w:sz w:val="22"/>
        </w:rPr>
        <w:t>1. INTRODUCTION</w:t>
      </w:r>
    </w:p>
    <w:p>
      <w:pPr>
        <w:spacing w:line="240" w:lineRule="exact" w:after="40"/>
        <w:jc w:val="both"/>
      </w:pPr>
      <w:r>
        <w:rPr>
          <w:rFonts w:ascii="Times New Roman" w:hAnsi="Times New Roman"/>
          <w:sz w:val="20"/>
        </w:rPr>
        <w:t>Intelligent audio processing is increasingly central to modern communication systems, from smart home assistants to IoT sensor networks that must handle diverse acoustic environments. Voice conversion (VC), the task of transforming a source speaker's voice to match a target speaker's characteristics while preserving linguistic content, serves as a key component in such systems. Applications range from voice anonymization in privacy-sensitive deployments to assistive communication tools that restore natural-sounding speech for individuals with vocal impairments.</w:t>
      </w:r>
    </w:p>
    <w:p>
      <w:pPr>
        <w:spacing w:line="240" w:lineRule="exact" w:after="40"/>
        <w:jc w:val="both"/>
      </w:pPr>
      <w:r>
        <w:rPr>
          <w:rFonts w:ascii="Times New Roman" w:hAnsi="Times New Roman"/>
          <w:sz w:val="20"/>
        </w:rPr>
        <w:t>Traditional VC approaches based on spectral envelope manipulation or CycleGAN-based mappings [8] operate on continuous representations and require either parallel training data or cycle-consistency constraints. The emergence of neural audio codecs such as EnCodec [1], SoundStream [2], and Mimi [3] has enabled a fundamentally different paradigm: by compressing speech into sequences of discrete tokens via residual vector quantization (RVQ), these codecs allow VC to be framed as a token prediction problem. This discrete formulation decouples speaker identity from content at the representation level and enables non-parallel training without explicit alignment.</w:t>
      </w:r>
    </w:p>
    <w:p>
      <w:pPr>
        <w:spacing w:line="240" w:lineRule="exact" w:after="40"/>
        <w:jc w:val="both"/>
      </w:pPr>
      <w:r>
        <w:rPr>
          <w:rFonts w:ascii="Times New Roman" w:hAnsi="Times New Roman"/>
          <w:sz w:val="20"/>
        </w:rPr>
        <w:t>Several recent works have explored this codec-based VC paradigm. Baade et al. [12] propose a codec language model that disentangles speaker and content through autoregressive semantic prediction combined with non-autoregressive acoustic generation. kNN-VC [13] applies k-nearest neighbor retrieval in a self-supervised feature space to achieve any-to-any voice conversion. FreeVC [14] employs WavLM features with a HiFi-GAN vocoder for text-free conversion. However, direct replacement of source codebook tokens with FAISS-retrieved nearest neighbors, while computationally simple, introduces temporal discontinuities and artifacts that degrade perceptual quality.</w:t>
      </w:r>
    </w:p>
    <w:p>
      <w:pPr>
        <w:spacing w:line="240" w:lineRule="exact" w:after="40"/>
        <w:jc w:val="both"/>
      </w:pPr>
      <w:r>
        <w:rPr>
          <w:rFonts w:ascii="Times New Roman" w:hAnsi="Times New Roman"/>
          <w:sz w:val="20"/>
        </w:rPr>
        <w:t>Our contributions are threefold. First, we introduce a non-autoregressive Conformer architecture with FiLM-based speaker conditioning for codebook token refinement, predicting 18 acoustic codebooks in a single forward pass. Second, we propose a curriculum corruption training strategy that progressively increases denoising difficulty across three phases, which we show to be the primary driver of model improvement. Third, we introduce a SECS regularization loss that explicitly encourages speaker identity preservation during training. Evaluated across five speaker pairs from a 2,338-speaker dataset, CRT achieves consistent improvements in intelligibility over the FAISS baseline while maintaining competitive speaker similarity. The remainder of this paper is organized as follows: Section 2 reviews related work, Section 3 details the proposed method, Section 4 presents experimental results, Section 5 discusses findings and limitations, and Section 6 concludes.</w:t>
      </w:r>
    </w:p>
    <w:p>
      <w:pPr>
        <w:spacing w:before="240" w:after="80" w:line="240" w:lineRule="exact"/>
      </w:pPr>
      <w:r>
        <w:rPr>
          <w:rFonts w:ascii="Times New Roman" w:hAnsi="Times New Roman"/>
          <w:b/>
          <w:sz w:val="22"/>
        </w:rPr>
        <w:t>2. RELATED WORK</w:t>
      </w:r>
    </w:p>
    <w:p>
      <w:pPr>
        <w:spacing w:before="160" w:after="40" w:line="240" w:lineRule="exact"/>
      </w:pPr>
      <w:r>
        <w:rPr>
          <w:rFonts w:ascii="Times New Roman" w:hAnsi="Times New Roman"/>
          <w:b/>
          <w:sz w:val="20"/>
        </w:rPr>
        <w:t>2.1 Neural Audio Codecs</w:t>
      </w:r>
    </w:p>
    <w:p>
      <w:pPr>
        <w:spacing w:line="240" w:lineRule="exact" w:after="40"/>
        <w:jc w:val="both"/>
      </w:pPr>
      <w:r>
        <w:rPr>
          <w:rFonts w:ascii="Times New Roman" w:hAnsi="Times New Roman"/>
          <w:sz w:val="20"/>
        </w:rPr>
        <w:t>Neural audio codecs compress waveforms into discrete token sequences using learned encoder-decoder architectures with residual vector quantization. SoundStream [2] introduced the paradigm of end-to-end neural audio compression with multi-scale discriminator training. EnCodec [1] extended this with improved training objectives and variable bitrate support, becoming the foundation for numerous speech generation systems including VALL-E [7]. SpeechTokenizer [15] explicitly disentangles semantic and acoustic information across RVQ levels by distilling content features into the first quantizer. Mimi [3], developed by Kyutai, achieves semantic-acoustic disentanglement through a split-residual architecture that assigns the first codebook (CB0) to semantic content while subsequent codebooks capture acoustic detail, operating at 12.5 Hz frame rate with 32 RVQ levels.</w:t>
      </w:r>
    </w:p>
    <w:p>
      <w:pPr>
        <w:spacing w:before="160" w:after="40" w:line="240" w:lineRule="exact"/>
      </w:pPr>
      <w:r>
        <w:rPr>
          <w:rFonts w:ascii="Times New Roman" w:hAnsi="Times New Roman"/>
          <w:b/>
          <w:sz w:val="20"/>
        </w:rPr>
        <w:t>2.2 Codec-Based Voice Conversion</w:t>
      </w:r>
    </w:p>
    <w:p>
      <w:pPr>
        <w:spacing w:line="240" w:lineRule="exact" w:after="40"/>
        <w:jc w:val="both"/>
      </w:pPr>
      <w:r>
        <w:rPr>
          <w:rFonts w:ascii="Times New Roman" w:hAnsi="Times New Roman"/>
          <w:sz w:val="20"/>
        </w:rPr>
        <w:t>The discrete token space of neural codecs has enabled several novel VC approaches. Baade et al. [12] combine autoregressive semantic prediction with non-autoregressive acoustic token generation, achieving strong disentanglement through a two-stage architecture built on EnCodec. kNN-VC [13] demonstrates that simple nearest-neighbor retrieval in a HuBERT feature space can achieve competitive voice conversion quality, though temporal coherence remains a challenge. VChangeCodec extends the codec framework with explicit style control, while FreeVC [14] combines WavLM bottleneck features with a HiFi-GAN decoder for high-quality text-free conversion. Our approach differs by operating directly on Mimi codec tokens and using a learned refinement model to correct FAISS retrieval errors rather than performing end-to-end generation.</w:t>
      </w:r>
    </w:p>
    <w:p>
      <w:pPr>
        <w:spacing w:before="160" w:after="40" w:line="240" w:lineRule="exact"/>
      </w:pPr>
      <w:r>
        <w:rPr>
          <w:rFonts w:ascii="Times New Roman" w:hAnsi="Times New Roman"/>
          <w:b/>
          <w:sz w:val="20"/>
        </w:rPr>
        <w:t>2.3 Conformer and Speaker Conditioning</w:t>
      </w:r>
    </w:p>
    <w:p>
      <w:pPr>
        <w:spacing w:line="240" w:lineRule="exact" w:after="40"/>
        <w:jc w:val="both"/>
      </w:pPr>
      <w:r>
        <w:rPr>
          <w:rFonts w:ascii="Times New Roman" w:hAnsi="Times New Roman"/>
          <w:sz w:val="20"/>
        </w:rPr>
        <w:t>The Conformer [4] combines self-attention for global context with convolution for local feature extraction in a macaron-style block, making it well-suited for sequence modeling tasks in speech. For speaker conditioning, we employ Feature-wise Linear Modulation (FiLM) [5], which applies affine transformations derived from speaker embeddings to intermediate representations. This approach has proven effective in conditional generation tasks, allowing the model to adapt its behavior based on the target speaker identity without modifying the core architecture. We extract speaker embeddings using a GE2E-trained [10] speaker encoder derived from the SV2TTS framework [11].</w:t>
      </w:r>
    </w:p>
    <w:p>
      <w:pPr>
        <w:spacing w:before="160" w:after="40" w:line="240" w:lineRule="exact"/>
      </w:pPr>
      <w:r>
        <w:rPr>
          <w:rFonts w:ascii="Times New Roman" w:hAnsi="Times New Roman"/>
          <w:b/>
          <w:sz w:val="20"/>
        </w:rPr>
        <w:t>2.4 Curriculum Learning in Speech</w:t>
      </w:r>
    </w:p>
    <w:p>
      <w:pPr>
        <w:spacing w:line="240" w:lineRule="exact" w:after="40"/>
        <w:jc w:val="both"/>
      </w:pPr>
      <w:r>
        <w:rPr>
          <w:rFonts w:ascii="Times New Roman" w:hAnsi="Times New Roman"/>
          <w:sz w:val="20"/>
        </w:rPr>
        <w:t>Curriculum learning [16] organizes training examples from easy to hard, allowing models to build robust representations progressively. In speech processing, curriculum strategies have improved ASR training convergence and robustness to noise. We apply this principle to the denoising task itself: rather than ordering training examples by difficulty, we progressively increase the corruption rate applied to input tokens, allowing the model to first learn basic codebook prediction patterns before tackling heavily corrupted inputs.</w:t>
      </w:r>
    </w:p>
    <w:p>
      <w:pPr>
        <w:spacing w:before="160" w:after="40" w:line="240" w:lineRule="exact"/>
      </w:pPr>
      <w:r>
        <w:rPr>
          <w:rFonts w:ascii="Times New Roman" w:hAnsi="Times New Roman"/>
          <w:b/>
          <w:sz w:val="20"/>
        </w:rPr>
        <w:t>2.5 Large-Scale Conversational Models</w:t>
      </w:r>
    </w:p>
    <w:p>
      <w:pPr>
        <w:spacing w:line="240" w:lineRule="exact" w:after="40"/>
        <w:jc w:val="both"/>
      </w:pPr>
      <w:r>
        <w:rPr>
          <w:rFonts w:ascii="Times New Roman" w:hAnsi="Times New Roman"/>
          <w:sz w:val="20"/>
        </w:rPr>
        <w:t>NVIDIA PersonaPlex [17] is a 7B-parameter full-duplex speech-to-speech model based on the Moshi architecture, trained on 1,217 hours of real conversations plus 144,000 synthetic dialogs. PersonaPlex achieves a speaker similarity score of 0.57 for voice cloning, notably lower than the 0.842 achieved by our CRT, as its primary objective is conversational naturalness (MOS 3.90) and real-time full-duplex interaction rather than speaker identity fidelity. This contrast demonstrates that Moshi-family codecs support both large-scale generative and focused refinement approaches; our work shows that a specialized 706M-parameter model can achieve substantially higher speaker similarity than a general-purpose 7B model through retrieval-based priming with targeted Conformer refinement.</w:t>
      </w:r>
    </w:p>
    <w:p>
      <w:pPr>
        <w:spacing w:before="240" w:after="80" w:line="240" w:lineRule="exact"/>
      </w:pPr>
      <w:r>
        <w:rPr>
          <w:rFonts w:ascii="Times New Roman" w:hAnsi="Times New Roman"/>
          <w:b/>
          <w:sz w:val="22"/>
        </w:rPr>
        <w:t>3. METHOD</w:t>
      </w:r>
    </w:p>
    <w:p>
      <w:pPr>
        <w:spacing w:line="240" w:lineRule="exact" w:after="40"/>
        <w:jc w:val="both"/>
      </w:pPr>
      <w:r>
        <w:rPr>
          <w:rFonts w:ascii="Times New Roman" w:hAnsi="Times New Roman"/>
          <w:sz w:val="20"/>
        </w:rPr>
        <w:t>We adopt the following terminology throughout this paper. Mimi encodes audio into 32 RVQ codebook sequences (CB0 through CB31). We use 19 of these: CB0 serves as the semantic content anchor and is never predicted by the model — it is used only as input context. CB1 through CB18 are the acoustic codebooks that the CRT model predicts. All references to “18 codebooks” throughout this paper refer to these predicted acoustic codebooks CB1–CB18. The model has 18 output heads (one per acoustic codebook), while the input comprises 19 codebook embeddings (CB0 plus the 18 noisy FAISS-retrieved acoustic codes).</w:t>
      </w:r>
    </w:p>
    <w:p>
      <w:pPr>
        <w:spacing w:before="160" w:after="40" w:line="240" w:lineRule="exact"/>
      </w:pPr>
      <w:r>
        <w:rPr>
          <w:rFonts w:ascii="Times New Roman" w:hAnsi="Times New Roman"/>
          <w:b/>
          <w:sz w:val="20"/>
        </w:rPr>
        <w:t>3.1 System Overview</w:t>
      </w:r>
    </w:p>
    <w:p>
      <w:pPr>
        <w:spacing w:line="240" w:lineRule="exact" w:after="40"/>
        <w:jc w:val="both"/>
      </w:pPr>
      <w:r>
        <w:rPr>
          <w:rFonts w:ascii="Times New Roman" w:hAnsi="Times New Roman"/>
          <w:sz w:val="20"/>
        </w:rPr>
        <w:t>The proposed voice conversion pipeline operates entirely in the discrete token domain of the Mimi neural audio codec. The system consists of three stages: encoding, cross-speaker retrieval, and learned refinement. The process is illustrated in the following pipeline diagram.</w:t>
      </w:r>
    </w:p>
    <w:p>
      <w:pPr>
        <w:spacing w:line="240" w:lineRule="exact" w:before="80" w:after="80"/>
        <w:jc w:val="center"/>
        <w:shd w:fill="F0F0F0" w:val="clear"/>
      </w:pPr>
      <w:r>
        <w:rPr>
          <w:rFonts w:ascii="Courier New" w:hAnsi="Courier New"/>
          <w:sz w:val="16"/>
        </w:rPr>
        <w:t>Source Audio --&gt; Mimi Encode --&gt; Source CB0 --&gt; FAISS Search --&gt; Retrieved CB0-18</w:t>
        <w:br/>
        <w:t xml:space="preserve">                                                                       |</w:t>
        <w:br/>
        <w:t xml:space="preserve">                                                                       v</w:t>
        <w:br/>
        <w:t xml:space="preserve">                                                    CRT Refinement --&gt; Refined CB1-18</w:t>
        <w:br/>
        <w:t xml:space="preserve">                                                                       |</w:t>
        <w:br/>
        <w:t xml:space="preserve">                                                                       v</w:t>
        <w:br/>
        <w:t xml:space="preserve">                                                              Mimi Decode --&gt; Converted Audio</w:t>
      </w:r>
    </w:p>
    <w:p>
      <w:pPr>
        <w:spacing w:before="80" w:after="160" w:line="240" w:lineRule="exact"/>
        <w:jc w:val="center"/>
      </w:pPr>
      <w:r>
        <w:rPr>
          <w:rFonts w:ascii="Times New Roman" w:hAnsi="Times New Roman"/>
          <w:sz w:val="18"/>
        </w:rPr>
        <w:t>Figure 1. System pipeline: Mimi encode, FAISS retrieval, CRT refinement, Mimi decode.</w:t>
      </w:r>
    </w:p>
    <w:p>
      <w:pPr>
        <w:spacing w:line="240" w:lineRule="exact" w:after="40"/>
        <w:jc w:val="both"/>
      </w:pPr>
      <w:r>
        <w:rPr>
          <w:rFonts w:ascii="Times New Roman" w:hAnsi="Times New Roman"/>
          <w:sz w:val="20"/>
        </w:rPr>
        <w:t>The source audio is encoded by Mimi into a sequence of RVQ codebook indices. The semantic codebook (CB0) serves as the content representation for cross-speaker retrieval via FAISS. The retrieved codebook tokens (CB0 through CB18) are then refined by the CRT model, which predicts corrected acoustic tokens for CB1 through CB18. Finally, the refined tokens are decoded by Mimi to produce the converted waveform.</w:t>
      </w:r>
    </w:p>
    <w:p>
      <w:pPr>
        <w:spacing w:before="160" w:after="40" w:line="240" w:lineRule="exact"/>
      </w:pPr>
      <w:r>
        <w:rPr>
          <w:rFonts w:ascii="Times New Roman" w:hAnsi="Times New Roman"/>
          <w:b/>
          <w:sz w:val="20"/>
        </w:rPr>
        <w:t>3.2 Mimi Neural Audio Codec</w:t>
      </w:r>
    </w:p>
    <w:p>
      <w:pPr>
        <w:spacing w:line="240" w:lineRule="exact" w:after="40"/>
        <w:jc w:val="both"/>
      </w:pPr>
      <w:r>
        <w:rPr>
          <w:rFonts w:ascii="Times New Roman" w:hAnsi="Times New Roman"/>
          <w:sz w:val="20"/>
        </w:rPr>
        <w:t>We employ the Mimi codec as our audio tokenizer, which compresses 24 kHz waveforms into discrete token sequences at a frame rate of 12.5 Hz using residual vector quantization with a vocabulary size of 2048 per codebook. As noted above, we utilize 19 of the 32 available codebooks: the first codebook (CB0) captures semantic and prosodic content through a split-residual design that disentangles high-level linguistic information from acoustic detail. The remaining 18 codebooks (CB1 through CB18) progressively encode finer acoustic details including speaker timbre, pitch contour, and spectral texture. This hierarchical structure is central to our approach: by anchoring on CB0 for content preservation and refining CB1 through CB18 for speaker adaptation, we achieve voice conversion without explicit text transcription or alignment.</w:t>
      </w:r>
    </w:p>
    <w:p>
      <w:pPr>
        <w:spacing w:before="160" w:after="40" w:line="240" w:lineRule="exact"/>
      </w:pPr>
      <w:r>
        <w:rPr>
          <w:rFonts w:ascii="Times New Roman" w:hAnsi="Times New Roman"/>
          <w:b/>
          <w:sz w:val="20"/>
        </w:rPr>
        <w:t>3.3 FAISS Cross-Speaker Retrieval</w:t>
      </w:r>
    </w:p>
    <w:p>
      <w:pPr>
        <w:spacing w:line="240" w:lineRule="exact" w:after="40"/>
        <w:jc w:val="both"/>
      </w:pPr>
      <w:r>
        <w:rPr>
          <w:rFonts w:ascii="Times New Roman" w:hAnsi="Times New Roman"/>
          <w:sz w:val="20"/>
        </w:rPr>
        <w:t>For each target speaker in the training set, we construct a FAISS index over the CB0 embedding vectors (256-dimensional) extracted from all available utterances of that speaker. Given a source utterance, we encode it with Mimi and perform frame-wise nearest-neighbor lookup in the target speaker's index using a composite scoring function that balances acoustic similarity with temporal continuity:</w:t>
      </w:r>
    </w:p>
    <w:p>
      <w:pPr>
        <w:spacing w:line="240" w:lineRule="exact" w:before="80" w:after="80"/>
        <w:jc w:val="center"/>
        <w:shd w:fill="F0F0F0" w:val="clear"/>
      </w:pPr>
      <w:r>
        <w:rPr>
          <w:rFonts w:ascii="Courier New" w:hAnsi="Courier New"/>
          <w:sz w:val="16"/>
        </w:rPr>
        <w:t>score = 0.5 * cos_sim + 0.5 / (1 + |cand_pos - prev_pos| / frame_rate)</w:t>
      </w:r>
    </w:p>
    <w:p>
      <w:pPr>
        <w:spacing w:line="240" w:lineRule="exact" w:after="40"/>
        <w:jc w:val="both"/>
      </w:pPr>
      <w:r>
        <w:rPr>
          <w:rFonts w:ascii="Times New Roman" w:hAnsi="Times New Roman"/>
          <w:sz w:val="20"/>
        </w:rPr>
        <w:t>where cos_sim is the cosine similarity between query and candidate embeddings, cand_pos is the candidate frame position, prev_pos is the previously selected frame position, and frame_rate is the codec frame rate (12.5 Hz). The temporal continuity term encourages selection of consecutive frames from the target speaker, reducing discontinuities in the retrieved sequence. For each matched frame, we retrieve all 19 codebook indices (CB0 through CB18), producing a complete but noisy estimate of the target speaker's token sequence.</w:t>
      </w:r>
    </w:p>
    <w:p>
      <w:pPr>
        <w:spacing w:before="160" w:after="40" w:line="240" w:lineRule="exact"/>
      </w:pPr>
      <w:r>
        <w:rPr>
          <w:rFonts w:ascii="Times New Roman" w:hAnsi="Times New Roman"/>
          <w:b/>
          <w:sz w:val="20"/>
        </w:rPr>
        <w:t>3.4 Codebook Refinement Transformer (CRT)</w:t>
      </w:r>
    </w:p>
    <w:p>
      <w:pPr>
        <w:spacing w:line="240" w:lineRule="exact" w:after="40"/>
        <w:jc w:val="both"/>
      </w:pPr>
      <w:r>
        <w:rPr>
          <w:rFonts w:ascii="Times New Roman" w:hAnsi="Times New Roman"/>
          <w:sz w:val="20"/>
        </w:rPr>
        <w:t>The CRT is a non-autoregressive Conformer-based model that takes noisy retrieved codebook tokens and predicts refined codebook indices for CB1 through CB18. The input to the model consists of 19 learned embedding vectors per frame (one for each codebook), which are summed and projected to the model dimension. A speaker embedding extracted by a GE2E-trained speaker encoder is injected via FiLM conditioning at each Conformer block.</w:t>
      </w:r>
    </w:p>
    <w:p>
      <w:pPr>
        <w:spacing w:line="240" w:lineRule="exact" w:after="40"/>
        <w:jc w:val="both"/>
      </w:pPr>
      <w:r>
        <w:rPr>
          <w:rFonts w:ascii="Times New Roman" w:hAnsi="Times New Roman"/>
          <w:sz w:val="20"/>
        </w:rPr>
        <w:t>Each Conformer block follows the macaron-style architecture: a half-step feed-forward network with expansion factor 4, multi-head self-attention with rotary positional embeddings, a depthwise separable convolution module with kernel size 31, and a second half-step feed-forward network. The output is projected through 18 independent classification heads, each producing logits over the 2048-token vocabulary for the corresponding codebook. Table 1 summarizes the model configurations explored in our experiments, ranging from a 2M parameter small model to the largest 706M configuration.</w:t>
      </w:r>
    </w:p>
    <w:p>
      <w:pPr>
        <w:spacing w:before="160" w:after="80" w:line="240" w:lineRule="exact"/>
        <w:jc w:val="center"/>
      </w:pPr>
      <w:r>
        <w:rPr>
          <w:rFonts w:ascii="Times New Roman" w:hAnsi="Times New Roman"/>
          <w:sz w:val="18"/>
        </w:rPr>
        <w:t>Table 1. CRT model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45"/>
        <w:gridCol w:w="1945"/>
        <w:gridCol w:w="1945"/>
        <w:gridCol w:w="1945"/>
        <w:gridCol w:w="1945"/>
      </w:tblGrid>
      <w:tr>
        <w:tc>
          <w:tcPr>
            <w:tcW w:type="dxa" w:w="1945"/>
            <w:shd w:fill="E8E8E8" w:val="clear"/>
          </w:tcPr>
          <w:p>
            <w:pPr>
              <w:spacing w:before="20" w:after="20"/>
              <w:jc w:val="center"/>
            </w:pPr>
            <w:r/>
            <w:r>
              <w:rPr>
                <w:rFonts w:ascii="Times New Roman" w:hAnsi="Times New Roman"/>
                <w:b/>
                <w:sz w:val="18"/>
              </w:rPr>
              <w:t>Configuration</w:t>
            </w:r>
          </w:p>
        </w:tc>
        <w:tc>
          <w:tcPr>
            <w:tcW w:type="dxa" w:w="1945"/>
            <w:shd w:fill="E8E8E8" w:val="clear"/>
          </w:tcPr>
          <w:p>
            <w:pPr>
              <w:spacing w:before="20" w:after="20"/>
              <w:jc w:val="center"/>
            </w:pPr>
            <w:r/>
            <w:r>
              <w:rPr>
                <w:rFonts w:ascii="Times New Roman" w:hAnsi="Times New Roman"/>
                <w:b/>
                <w:sz w:val="18"/>
              </w:rPr>
              <w:t>d_model</w:t>
            </w:r>
          </w:p>
        </w:tc>
        <w:tc>
          <w:tcPr>
            <w:tcW w:type="dxa" w:w="1945"/>
            <w:shd w:fill="E8E8E8" w:val="clear"/>
          </w:tcPr>
          <w:p>
            <w:pPr>
              <w:spacing w:before="20" w:after="20"/>
              <w:jc w:val="center"/>
            </w:pPr>
            <w:r/>
            <w:r>
              <w:rPr>
                <w:rFonts w:ascii="Times New Roman" w:hAnsi="Times New Roman"/>
                <w:b/>
                <w:sz w:val="18"/>
              </w:rPr>
              <w:t>n_heads</w:t>
            </w:r>
          </w:p>
        </w:tc>
        <w:tc>
          <w:tcPr>
            <w:tcW w:type="dxa" w:w="1945"/>
            <w:shd w:fill="E8E8E8" w:val="clear"/>
          </w:tcPr>
          <w:p>
            <w:pPr>
              <w:spacing w:before="20" w:after="20"/>
              <w:jc w:val="center"/>
            </w:pPr>
            <w:r/>
            <w:r>
              <w:rPr>
                <w:rFonts w:ascii="Times New Roman" w:hAnsi="Times New Roman"/>
                <w:b/>
                <w:sz w:val="18"/>
              </w:rPr>
              <w:t>n_layers</w:t>
            </w:r>
          </w:p>
        </w:tc>
        <w:tc>
          <w:tcPr>
            <w:tcW w:type="dxa" w:w="1945"/>
            <w:shd w:fill="E8E8E8" w:val="clear"/>
          </w:tcPr>
          <w:p>
            <w:pPr>
              <w:spacing w:before="20" w:after="20"/>
              <w:jc w:val="center"/>
            </w:pPr>
            <w:r/>
            <w:r>
              <w:rPr>
                <w:rFonts w:ascii="Times New Roman" w:hAnsi="Times New Roman"/>
                <w:b/>
                <w:sz w:val="18"/>
              </w:rPr>
              <w:t>Parameters</w:t>
            </w:r>
          </w:p>
        </w:tc>
      </w:tr>
      <w:tr>
        <w:tc>
          <w:tcPr>
            <w:tcW w:type="dxa" w:w="1945"/>
          </w:tcPr>
          <w:p>
            <w:pPr>
              <w:spacing w:before="20" w:after="20"/>
              <w:jc w:val="center"/>
            </w:pPr>
            <w:r/>
            <w:r>
              <w:rPr>
                <w:rFonts w:ascii="Times New Roman" w:hAnsi="Times New Roman"/>
                <w:sz w:val="18"/>
              </w:rPr>
              <w:t>Small</w:t>
            </w:r>
          </w:p>
        </w:tc>
        <w:tc>
          <w:tcPr>
            <w:tcW w:type="dxa" w:w="1945"/>
          </w:tcPr>
          <w:p>
            <w:pPr>
              <w:spacing w:before="20" w:after="20"/>
              <w:jc w:val="center"/>
            </w:pPr>
            <w:r/>
            <w:r>
              <w:rPr>
                <w:rFonts w:ascii="Times New Roman" w:hAnsi="Times New Roman"/>
                <w:sz w:val="18"/>
              </w:rPr>
              <w:t>128</w:t>
            </w:r>
          </w:p>
        </w:tc>
        <w:tc>
          <w:tcPr>
            <w:tcW w:type="dxa" w:w="1945"/>
          </w:tcPr>
          <w:p>
            <w:pPr>
              <w:spacing w:before="20" w:after="20"/>
              <w:jc w:val="center"/>
            </w:pPr>
            <w:r/>
            <w:r>
              <w:rPr>
                <w:rFonts w:ascii="Times New Roman" w:hAnsi="Times New Roman"/>
                <w:sz w:val="18"/>
              </w:rPr>
              <w:t>4</w:t>
            </w:r>
          </w:p>
        </w:tc>
        <w:tc>
          <w:tcPr>
            <w:tcW w:type="dxa" w:w="1945"/>
          </w:tcPr>
          <w:p>
            <w:pPr>
              <w:spacing w:before="20" w:after="20"/>
              <w:jc w:val="center"/>
            </w:pPr>
            <w:r/>
            <w:r>
              <w:rPr>
                <w:rFonts w:ascii="Times New Roman" w:hAnsi="Times New Roman"/>
                <w:sz w:val="18"/>
              </w:rPr>
              <w:t>4</w:t>
            </w:r>
          </w:p>
        </w:tc>
        <w:tc>
          <w:tcPr>
            <w:tcW w:type="dxa" w:w="1945"/>
          </w:tcPr>
          <w:p>
            <w:pPr>
              <w:spacing w:before="20" w:after="20"/>
              <w:jc w:val="center"/>
            </w:pPr>
            <w:r/>
            <w:r>
              <w:rPr>
                <w:rFonts w:ascii="Times New Roman" w:hAnsi="Times New Roman"/>
                <w:sz w:val="18"/>
              </w:rPr>
              <w:t>2M</w:t>
            </w:r>
          </w:p>
        </w:tc>
      </w:tr>
      <w:tr>
        <w:tc>
          <w:tcPr>
            <w:tcW w:type="dxa" w:w="1945"/>
          </w:tcPr>
          <w:p>
            <w:pPr>
              <w:spacing w:before="20" w:after="20"/>
              <w:jc w:val="center"/>
            </w:pPr>
            <w:r/>
            <w:r>
              <w:rPr>
                <w:rFonts w:ascii="Times New Roman" w:hAnsi="Times New Roman"/>
                <w:sz w:val="18"/>
              </w:rPr>
              <w:t>Medium</w:t>
            </w:r>
          </w:p>
        </w:tc>
        <w:tc>
          <w:tcPr>
            <w:tcW w:type="dxa" w:w="1945"/>
          </w:tcPr>
          <w:p>
            <w:pPr>
              <w:spacing w:before="20" w:after="20"/>
              <w:jc w:val="center"/>
            </w:pPr>
            <w:r/>
            <w:r>
              <w:rPr>
                <w:rFonts w:ascii="Times New Roman" w:hAnsi="Times New Roman"/>
                <w:sz w:val="18"/>
              </w:rPr>
              <w:t>256</w:t>
            </w:r>
          </w:p>
        </w:tc>
        <w:tc>
          <w:tcPr>
            <w:tcW w:type="dxa" w:w="1945"/>
          </w:tcPr>
          <w:p>
            <w:pPr>
              <w:spacing w:before="20" w:after="20"/>
              <w:jc w:val="center"/>
            </w:pPr>
            <w:r/>
            <w:r>
              <w:rPr>
                <w:rFonts w:ascii="Times New Roman" w:hAnsi="Times New Roman"/>
                <w:sz w:val="18"/>
              </w:rPr>
              <w:t>4</w:t>
            </w:r>
          </w:p>
        </w:tc>
        <w:tc>
          <w:tcPr>
            <w:tcW w:type="dxa" w:w="1945"/>
          </w:tcPr>
          <w:p>
            <w:pPr>
              <w:spacing w:before="20" w:after="20"/>
              <w:jc w:val="center"/>
            </w:pPr>
            <w:r/>
            <w:r>
              <w:rPr>
                <w:rFonts w:ascii="Times New Roman" w:hAnsi="Times New Roman"/>
                <w:sz w:val="18"/>
              </w:rPr>
              <w:t>6</w:t>
            </w:r>
          </w:p>
        </w:tc>
        <w:tc>
          <w:tcPr>
            <w:tcW w:type="dxa" w:w="1945"/>
          </w:tcPr>
          <w:p>
            <w:pPr>
              <w:spacing w:before="20" w:after="20"/>
              <w:jc w:val="center"/>
            </w:pPr>
            <w:r/>
            <w:r>
              <w:rPr>
                <w:rFonts w:ascii="Times New Roman" w:hAnsi="Times New Roman"/>
                <w:sz w:val="18"/>
              </w:rPr>
              <w:t>8M</w:t>
            </w:r>
          </w:p>
        </w:tc>
      </w:tr>
      <w:tr>
        <w:tc>
          <w:tcPr>
            <w:tcW w:type="dxa" w:w="1945"/>
          </w:tcPr>
          <w:p>
            <w:pPr>
              <w:spacing w:before="20" w:after="20"/>
              <w:jc w:val="center"/>
            </w:pPr>
            <w:r/>
            <w:r>
              <w:rPr>
                <w:rFonts w:ascii="Times New Roman" w:hAnsi="Times New Roman"/>
                <w:sz w:val="18"/>
              </w:rPr>
              <w:t>Large</w:t>
            </w:r>
          </w:p>
        </w:tc>
        <w:tc>
          <w:tcPr>
            <w:tcW w:type="dxa" w:w="1945"/>
          </w:tcPr>
          <w:p>
            <w:pPr>
              <w:spacing w:before="20" w:after="20"/>
              <w:jc w:val="center"/>
            </w:pPr>
            <w:r/>
            <w:r>
              <w:rPr>
                <w:rFonts w:ascii="Times New Roman" w:hAnsi="Times New Roman"/>
                <w:sz w:val="18"/>
              </w:rPr>
              <w:t>512</w:t>
            </w:r>
          </w:p>
        </w:tc>
        <w:tc>
          <w:tcPr>
            <w:tcW w:type="dxa" w:w="1945"/>
          </w:tcPr>
          <w:p>
            <w:pPr>
              <w:spacing w:before="20" w:after="20"/>
              <w:jc w:val="center"/>
            </w:pPr>
            <w:r/>
            <w:r>
              <w:rPr>
                <w:rFonts w:ascii="Times New Roman" w:hAnsi="Times New Roman"/>
                <w:sz w:val="18"/>
              </w:rPr>
              <w:t>8</w:t>
            </w:r>
          </w:p>
        </w:tc>
        <w:tc>
          <w:tcPr>
            <w:tcW w:type="dxa" w:w="1945"/>
          </w:tcPr>
          <w:p>
            <w:pPr>
              <w:spacing w:before="20" w:after="20"/>
              <w:jc w:val="center"/>
            </w:pPr>
            <w:r/>
            <w:r>
              <w:rPr>
                <w:rFonts w:ascii="Times New Roman" w:hAnsi="Times New Roman"/>
                <w:sz w:val="18"/>
              </w:rPr>
              <w:t>8</w:t>
            </w:r>
          </w:p>
        </w:tc>
        <w:tc>
          <w:tcPr>
            <w:tcW w:type="dxa" w:w="1945"/>
          </w:tcPr>
          <w:p>
            <w:pPr>
              <w:spacing w:before="20" w:after="20"/>
              <w:jc w:val="center"/>
            </w:pPr>
            <w:r/>
            <w:r>
              <w:rPr>
                <w:rFonts w:ascii="Times New Roman" w:hAnsi="Times New Roman"/>
                <w:sz w:val="18"/>
              </w:rPr>
              <w:t>28M</w:t>
            </w:r>
          </w:p>
        </w:tc>
      </w:tr>
      <w:tr>
        <w:tc>
          <w:tcPr>
            <w:tcW w:type="dxa" w:w="1945"/>
          </w:tcPr>
          <w:p>
            <w:pPr>
              <w:spacing w:before="20" w:after="20"/>
              <w:jc w:val="center"/>
            </w:pPr>
            <w:r/>
            <w:r>
              <w:rPr>
                <w:rFonts w:ascii="Times New Roman" w:hAnsi="Times New Roman"/>
                <w:sz w:val="18"/>
              </w:rPr>
              <w:t>XLarge</w:t>
            </w:r>
          </w:p>
        </w:tc>
        <w:tc>
          <w:tcPr>
            <w:tcW w:type="dxa" w:w="1945"/>
          </w:tcPr>
          <w:p>
            <w:pPr>
              <w:spacing w:before="20" w:after="20"/>
              <w:jc w:val="center"/>
            </w:pPr>
            <w:r/>
            <w:r>
              <w:rPr>
                <w:rFonts w:ascii="Times New Roman" w:hAnsi="Times New Roman"/>
                <w:sz w:val="18"/>
              </w:rPr>
              <w:t>1280</w:t>
            </w:r>
          </w:p>
        </w:tc>
        <w:tc>
          <w:tcPr>
            <w:tcW w:type="dxa" w:w="1945"/>
          </w:tcPr>
          <w:p>
            <w:pPr>
              <w:spacing w:before="20" w:after="20"/>
              <w:jc w:val="center"/>
            </w:pPr>
            <w:r/>
            <w:r>
              <w:rPr>
                <w:rFonts w:ascii="Times New Roman" w:hAnsi="Times New Roman"/>
                <w:sz w:val="18"/>
              </w:rPr>
              <w:t>16</w:t>
            </w:r>
          </w:p>
        </w:tc>
        <w:tc>
          <w:tcPr>
            <w:tcW w:type="dxa" w:w="1945"/>
          </w:tcPr>
          <w:p>
            <w:pPr>
              <w:spacing w:before="20" w:after="20"/>
              <w:jc w:val="center"/>
            </w:pPr>
            <w:r/>
            <w:r>
              <w:rPr>
                <w:rFonts w:ascii="Times New Roman" w:hAnsi="Times New Roman"/>
                <w:sz w:val="18"/>
              </w:rPr>
              <w:t>16</w:t>
            </w:r>
          </w:p>
        </w:tc>
        <w:tc>
          <w:tcPr>
            <w:tcW w:type="dxa" w:w="1945"/>
          </w:tcPr>
          <w:p>
            <w:pPr>
              <w:spacing w:before="20" w:after="20"/>
              <w:jc w:val="center"/>
            </w:pPr>
            <w:r/>
            <w:r>
              <w:rPr>
                <w:rFonts w:ascii="Times New Roman" w:hAnsi="Times New Roman"/>
                <w:sz w:val="18"/>
              </w:rPr>
              <w:t>706M</w:t>
            </w:r>
          </w:p>
        </w:tc>
      </w:tr>
    </w:tbl>
    <w:p>
      <w:pPr>
        <w:spacing w:before="160" w:after="40" w:line="240" w:lineRule="exact"/>
      </w:pPr>
      <w:r>
        <w:rPr>
          <w:rFonts w:ascii="Times New Roman" w:hAnsi="Times New Roman"/>
          <w:b/>
          <w:sz w:val="20"/>
        </w:rPr>
        <w:t>3.5 Training Objectives</w:t>
      </w:r>
    </w:p>
    <w:p>
      <w:pPr>
        <w:spacing w:line="240" w:lineRule="exact" w:after="40"/>
        <w:jc w:val="both"/>
      </w:pPr>
      <w:r>
        <w:rPr>
          <w:rFonts w:ascii="Times New Roman" w:hAnsi="Times New Roman"/>
          <w:sz w:val="20"/>
        </w:rPr>
        <w:t>The CRT is trained with a combination of focal cross-entropy loss and speaker similarity regularization. The focal loss [9] down-weights well-classified tokens and focuses training on difficult predictions:</w:t>
      </w:r>
    </w:p>
    <w:p>
      <w:pPr>
        <w:spacing w:line="240" w:lineRule="exact" w:before="80" w:after="80"/>
        <w:jc w:val="center"/>
        <w:shd w:fill="F0F0F0" w:val="clear"/>
      </w:pPr>
      <w:r>
        <w:rPr>
          <w:rFonts w:ascii="Courier New" w:hAnsi="Courier New"/>
          <w:sz w:val="16"/>
        </w:rPr>
        <w:t>L_focal = -(1 - p_t)^gamma * log(p_t),  gamma = 2.0</w:t>
      </w:r>
    </w:p>
    <w:p>
      <w:pPr>
        <w:spacing w:line="240" w:lineRule="exact" w:after="40"/>
        <w:jc w:val="both"/>
      </w:pPr>
      <w:r>
        <w:rPr>
          <w:rFonts w:ascii="Times New Roman" w:hAnsi="Times New Roman"/>
          <w:sz w:val="20"/>
        </w:rPr>
        <w:t>To explicitly encourage speaker identity preservation, we introduce a SECS regularization term. During training, the model's predicted token logits are converted to soft codebook embeddings via a Gumbel-Softmax operation, decoded through Mimi's decoder, and compared against the target speaker's embedding using cosine similarity:</w:t>
      </w:r>
    </w:p>
    <w:p>
      <w:pPr>
        <w:spacing w:line="240" w:lineRule="exact" w:before="80" w:after="80"/>
        <w:jc w:val="center"/>
        <w:shd w:fill="F0F0F0" w:val="clear"/>
      </w:pPr>
      <w:r>
        <w:rPr>
          <w:rFonts w:ascii="Courier New" w:hAnsi="Courier New"/>
          <w:sz w:val="16"/>
        </w:rPr>
        <w:t>L_secs = 1 - cos(emb_pred, emb_target)</w:t>
      </w:r>
    </w:p>
    <w:p>
      <w:pPr>
        <w:spacing w:line="240" w:lineRule="exact" w:after="40"/>
        <w:jc w:val="both"/>
      </w:pPr>
      <w:r>
        <w:rPr>
          <w:rFonts w:ascii="Times New Roman" w:hAnsi="Times New Roman"/>
          <w:sz w:val="20"/>
        </w:rPr>
        <w:t>The total training objective is a weighted combination:</w:t>
      </w:r>
    </w:p>
    <w:p>
      <w:pPr>
        <w:spacing w:line="240" w:lineRule="exact" w:before="80" w:after="80"/>
        <w:jc w:val="center"/>
        <w:shd w:fill="F0F0F0" w:val="clear"/>
      </w:pPr>
      <w:r>
        <w:rPr>
          <w:rFonts w:ascii="Courier New" w:hAnsi="Courier New"/>
          <w:sz w:val="16"/>
        </w:rPr>
        <w:t>L_total = L_focal + lambda_secs * L_secs,  lambda_secs = 0.1</w:t>
      </w:r>
    </w:p>
    <w:p>
      <w:pPr>
        <w:spacing w:before="160" w:after="40" w:line="240" w:lineRule="exact"/>
      </w:pPr>
      <w:r>
        <w:rPr>
          <w:rFonts w:ascii="Times New Roman" w:hAnsi="Times New Roman"/>
          <w:b/>
          <w:sz w:val="20"/>
        </w:rPr>
        <w:t>3.6 Curriculum Corruption</w:t>
      </w:r>
    </w:p>
    <w:p>
      <w:pPr>
        <w:spacing w:line="240" w:lineRule="exact" w:after="40"/>
        <w:jc w:val="both"/>
      </w:pPr>
      <w:r>
        <w:rPr>
          <w:rFonts w:ascii="Times New Roman" w:hAnsi="Times New Roman"/>
          <w:sz w:val="20"/>
        </w:rPr>
        <w:t>We employ a curriculum corruption strategy that progressively increases the difficulty of the denoising task during training. At each training step, a fraction of the ground-truth codebook tokens in the input are replaced with random tokens sampled uniformly from the vocabulary. The corruption rate follows the schedule in Table 2.</w:t>
      </w:r>
    </w:p>
    <w:p>
      <w:pPr>
        <w:spacing w:before="160" w:after="80" w:line="240" w:lineRule="exact"/>
        <w:jc w:val="center"/>
      </w:pPr>
      <w:r>
        <w:rPr>
          <w:rFonts w:ascii="Times New Roman" w:hAnsi="Times New Roman"/>
          <w:sz w:val="18"/>
        </w:rPr>
        <w:t>Table 2. Curriculum corruption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1"/>
        <w:gridCol w:w="3241"/>
        <w:gridCol w:w="3241"/>
      </w:tblGrid>
      <w:tr>
        <w:tc>
          <w:tcPr>
            <w:tcW w:type="dxa" w:w="3241"/>
            <w:shd w:fill="E8E8E8" w:val="clear"/>
          </w:tcPr>
          <w:p>
            <w:pPr>
              <w:spacing w:before="20" w:after="20"/>
              <w:jc w:val="center"/>
            </w:pPr>
            <w:r/>
            <w:r>
              <w:rPr>
                <w:rFonts w:ascii="Times New Roman" w:hAnsi="Times New Roman"/>
                <w:b/>
                <w:sz w:val="18"/>
              </w:rPr>
              <w:t>Phase</w:t>
            </w:r>
          </w:p>
        </w:tc>
        <w:tc>
          <w:tcPr>
            <w:tcW w:type="dxa" w:w="3241"/>
            <w:shd w:fill="E8E8E8" w:val="clear"/>
          </w:tcPr>
          <w:p>
            <w:pPr>
              <w:spacing w:before="20" w:after="20"/>
              <w:jc w:val="center"/>
            </w:pPr>
            <w:r/>
            <w:r>
              <w:rPr>
                <w:rFonts w:ascii="Times New Roman" w:hAnsi="Times New Roman"/>
                <w:b/>
                <w:sz w:val="18"/>
              </w:rPr>
              <w:t>Steps</w:t>
            </w:r>
          </w:p>
        </w:tc>
        <w:tc>
          <w:tcPr>
            <w:tcW w:type="dxa" w:w="3241"/>
            <w:shd w:fill="E8E8E8" w:val="clear"/>
          </w:tcPr>
          <w:p>
            <w:pPr>
              <w:spacing w:before="20" w:after="20"/>
              <w:jc w:val="center"/>
            </w:pPr>
            <w:r/>
            <w:r>
              <w:rPr>
                <w:rFonts w:ascii="Times New Roman" w:hAnsi="Times New Roman"/>
                <w:b/>
                <w:sz w:val="18"/>
              </w:rPr>
              <w:t>Corruption Rate</w:t>
            </w:r>
          </w:p>
        </w:tc>
      </w:tr>
      <w:tr>
        <w:tc>
          <w:tcPr>
            <w:tcW w:type="dxa" w:w="3241"/>
          </w:tcPr>
          <w:p>
            <w:pPr>
              <w:spacing w:before="20" w:after="20"/>
              <w:jc w:val="center"/>
            </w:pPr>
            <w:r/>
            <w:r>
              <w:rPr>
                <w:rFonts w:ascii="Times New Roman" w:hAnsi="Times New Roman"/>
                <w:sz w:val="18"/>
              </w:rPr>
              <w:t>Easy</w:t>
            </w:r>
          </w:p>
        </w:tc>
        <w:tc>
          <w:tcPr>
            <w:tcW w:type="dxa" w:w="3241"/>
          </w:tcPr>
          <w:p>
            <w:pPr>
              <w:spacing w:before="20" w:after="20"/>
              <w:jc w:val="center"/>
            </w:pPr>
            <w:r/>
            <w:r>
              <w:rPr>
                <w:rFonts w:ascii="Times New Roman" w:hAnsi="Times New Roman"/>
                <w:sz w:val="18"/>
              </w:rPr>
              <w:t>0 – 20k</w:t>
            </w:r>
          </w:p>
        </w:tc>
        <w:tc>
          <w:tcPr>
            <w:tcW w:type="dxa" w:w="3241"/>
          </w:tcPr>
          <w:p>
            <w:pPr>
              <w:spacing w:before="20" w:after="20"/>
              <w:jc w:val="center"/>
            </w:pPr>
            <w:r/>
            <w:r>
              <w:rPr>
                <w:rFonts w:ascii="Times New Roman" w:hAnsi="Times New Roman"/>
                <w:sz w:val="18"/>
              </w:rPr>
              <w:t>30%</w:t>
            </w:r>
          </w:p>
        </w:tc>
      </w:tr>
      <w:tr>
        <w:tc>
          <w:tcPr>
            <w:tcW w:type="dxa" w:w="3241"/>
          </w:tcPr>
          <w:p>
            <w:pPr>
              <w:spacing w:before="20" w:after="20"/>
              <w:jc w:val="center"/>
            </w:pPr>
            <w:r/>
            <w:r>
              <w:rPr>
                <w:rFonts w:ascii="Times New Roman" w:hAnsi="Times New Roman"/>
                <w:sz w:val="18"/>
              </w:rPr>
              <w:t>Medium</w:t>
            </w:r>
          </w:p>
        </w:tc>
        <w:tc>
          <w:tcPr>
            <w:tcW w:type="dxa" w:w="3241"/>
          </w:tcPr>
          <w:p>
            <w:pPr>
              <w:spacing w:before="20" w:after="20"/>
              <w:jc w:val="center"/>
            </w:pPr>
            <w:r/>
            <w:r>
              <w:rPr>
                <w:rFonts w:ascii="Times New Roman" w:hAnsi="Times New Roman"/>
                <w:sz w:val="18"/>
              </w:rPr>
              <w:t>20k – 40k</w:t>
            </w:r>
          </w:p>
        </w:tc>
        <w:tc>
          <w:tcPr>
            <w:tcW w:type="dxa" w:w="3241"/>
          </w:tcPr>
          <w:p>
            <w:pPr>
              <w:spacing w:before="20" w:after="20"/>
              <w:jc w:val="center"/>
            </w:pPr>
            <w:r/>
            <w:r>
              <w:rPr>
                <w:rFonts w:ascii="Times New Roman" w:hAnsi="Times New Roman"/>
                <w:sz w:val="18"/>
              </w:rPr>
              <w:t>50%</w:t>
            </w:r>
          </w:p>
        </w:tc>
      </w:tr>
      <w:tr>
        <w:tc>
          <w:tcPr>
            <w:tcW w:type="dxa" w:w="3241"/>
          </w:tcPr>
          <w:p>
            <w:pPr>
              <w:spacing w:before="20" w:after="20"/>
              <w:jc w:val="center"/>
            </w:pPr>
            <w:r/>
            <w:r>
              <w:rPr>
                <w:rFonts w:ascii="Times New Roman" w:hAnsi="Times New Roman"/>
                <w:sz w:val="18"/>
              </w:rPr>
              <w:t>Hard</w:t>
            </w:r>
          </w:p>
        </w:tc>
        <w:tc>
          <w:tcPr>
            <w:tcW w:type="dxa" w:w="3241"/>
          </w:tcPr>
          <w:p>
            <w:pPr>
              <w:spacing w:before="20" w:after="20"/>
              <w:jc w:val="center"/>
            </w:pPr>
            <w:r/>
            <w:r>
              <w:rPr>
                <w:rFonts w:ascii="Times New Roman" w:hAnsi="Times New Roman"/>
                <w:sz w:val="18"/>
              </w:rPr>
              <w:t>40k – 60k</w:t>
            </w:r>
          </w:p>
        </w:tc>
        <w:tc>
          <w:tcPr>
            <w:tcW w:type="dxa" w:w="3241"/>
          </w:tcPr>
          <w:p>
            <w:pPr>
              <w:spacing w:before="20" w:after="20"/>
              <w:jc w:val="center"/>
            </w:pPr>
            <w:r/>
            <w:r>
              <w:rPr>
                <w:rFonts w:ascii="Times New Roman" w:hAnsi="Times New Roman"/>
                <w:sz w:val="18"/>
              </w:rPr>
              <w:t>70%</w:t>
            </w:r>
          </w:p>
        </w:tc>
      </w:tr>
    </w:tbl>
    <w:p>
      <w:pPr>
        <w:spacing w:line="240" w:lineRule="exact" w:after="40"/>
        <w:jc w:val="both"/>
      </w:pPr>
      <w:r>
        <w:rPr>
          <w:rFonts w:ascii="Times New Roman" w:hAnsi="Times New Roman"/>
          <w:sz w:val="20"/>
        </w:rPr>
        <w:t>This curriculum allows the model to first learn basic codebook prediction patterns from relatively clean inputs, then progressively adapt to noisier conditions that better approximate the distribution of FAISS-retrieved tokens at inference time. The progressive schedule yields a characteristic training loss curve with distinct phase transitions, which we analyze in Section 4.</w:t>
      </w:r>
    </w:p>
    <w:p>
      <w:pPr>
        <w:spacing w:before="240" w:after="80" w:line="240" w:lineRule="exact"/>
      </w:pPr>
      <w:r>
        <w:rPr>
          <w:rFonts w:ascii="Times New Roman" w:hAnsi="Times New Roman"/>
          <w:b/>
          <w:sz w:val="22"/>
        </w:rPr>
        <w:t>4. EXPERIMENTS</w:t>
      </w:r>
    </w:p>
    <w:p>
      <w:pPr>
        <w:spacing w:before="160" w:after="40" w:line="240" w:lineRule="exact"/>
      </w:pPr>
      <w:r>
        <w:rPr>
          <w:rFonts w:ascii="Times New Roman" w:hAnsi="Times New Roman"/>
          <w:b/>
          <w:sz w:val="20"/>
        </w:rPr>
        <w:t>4.1 Dataset</w:t>
      </w:r>
    </w:p>
    <w:p>
      <w:pPr>
        <w:spacing w:line="240" w:lineRule="exact" w:after="40"/>
        <w:jc w:val="both"/>
      </w:pPr>
      <w:r>
        <w:rPr>
          <w:rFonts w:ascii="Times New Roman" w:hAnsi="Times New Roman"/>
          <w:sz w:val="20"/>
        </w:rPr>
        <w:t>We train and evaluate on a processed multi-speaker dataset derived from LibriSpeech and LibriTTS corpora. The dataset contains 2,338 speakers with a total duration of 80.4 hours after preprocessing. All audio is resampled to 24 kHz to match Mimi's native sample rate. We apply voice activity detection to remove silence and segment utterances into 10-second maximum-length chunks. Speaker embeddings are pre-extracted using the GE2E speaker encoder for both FAISS index construction and training supervision.</w:t>
      </w:r>
    </w:p>
    <w:p>
      <w:pPr>
        <w:spacing w:before="160" w:after="40" w:line="240" w:lineRule="exact"/>
      </w:pPr>
      <w:r>
        <w:rPr>
          <w:rFonts w:ascii="Times New Roman" w:hAnsi="Times New Roman"/>
          <w:b/>
          <w:sz w:val="20"/>
        </w:rPr>
        <w:t>4.2 Training Setup</w:t>
      </w:r>
    </w:p>
    <w:p>
      <w:pPr>
        <w:spacing w:line="240" w:lineRule="exact" w:after="40"/>
        <w:jc w:val="both"/>
      </w:pPr>
      <w:r>
        <w:rPr>
          <w:rFonts w:ascii="Times New Roman" w:hAnsi="Times New Roman"/>
          <w:sz w:val="20"/>
        </w:rPr>
        <w:t>All models are trained on a single NVIDIA A100-SXM4-80GB GPU managed through a SLURM cluster scheduling system. We use the AdamW optimizer with a learning rate of 3e-4 and cosine annealing schedule. The batch size is 32 utterances with gradient accumulation over 2 steps, yielding an effective batch size of 64. Training runs for 60,000 steps for the XLarge configuration (approximately 48 hours), with curriculum phase transitions at 20,000 and 40,000 steps. Mixed-precision training (bf16) is used throughout. Gradient clipping is set to a maximum norm of 1.0.</w:t>
      </w:r>
    </w:p>
    <w:p>
      <w:pPr>
        <w:spacing w:before="160" w:after="40" w:line="240" w:lineRule="exact"/>
      </w:pPr>
      <w:r>
        <w:rPr>
          <w:rFonts w:ascii="Times New Roman" w:hAnsi="Times New Roman"/>
          <w:b/>
          <w:sz w:val="20"/>
        </w:rPr>
        <w:t>4.3 Evaluation Metrics</w:t>
      </w:r>
    </w:p>
    <w:p>
      <w:pPr>
        <w:spacing w:line="240" w:lineRule="exact" w:after="40"/>
        <w:jc w:val="both"/>
      </w:pPr>
      <w:r>
        <w:rPr>
          <w:rFonts w:ascii="Times New Roman" w:hAnsi="Times New Roman"/>
          <w:sz w:val="20"/>
        </w:rPr>
        <w:t>We evaluate our models using four complementary metrics. Speaker Encoder Cosine Similarity (SECS) measures the cosine similarity between speaker embeddings of the converted and target utterances, quantifying speaker identity preservation. Mel Cepstral Distortion (MCD) measures spectral distance between converted and target speech on 80-band log-mel spectrograms at 24 kHz.* Word Error Rate (WER) is computed using OpenAI Whisper (large-v3) transcription compared against ground-truth text, measuring intelligibility preservation. Codebook Accuracy (CB Acc) measures the percentage of predicted tokens that exactly match the ground-truth codebook indices, computed per-codebook and reported for CB1 as the first acoustic codebook.</w:t>
      </w:r>
    </w:p>
    <w:p>
      <w:pPr>
        <w:spacing w:line="240" w:lineRule="exact" w:after="40"/>
        <w:jc w:val="both"/>
      </w:pPr>
      <w:r>
        <w:rPr>
          <w:rFonts w:ascii="Times New Roman" w:hAnsi="Times New Roman"/>
          <w:i/>
          <w:sz w:val="20"/>
        </w:rPr>
        <w:t>*Note: MCD values reported in this work are computed on 80-band mel spectrograms at 24 kHz. These absolute values are not directly comparable to standard 13-coefficient MFCC-based MCD (typically 3–8 dB) reported in other voice conversion studies.</w:t>
      </w:r>
    </w:p>
    <w:p>
      <w:pPr>
        <w:spacing w:before="160" w:after="40" w:line="240" w:lineRule="exact"/>
      </w:pPr>
      <w:r>
        <w:rPr>
          <w:rFonts w:ascii="Times New Roman" w:hAnsi="Times New Roman"/>
          <w:b/>
          <w:sz w:val="20"/>
        </w:rPr>
        <w:t>4.4 Model Scaling and Ablation Results</w:t>
      </w:r>
    </w:p>
    <w:p>
      <w:pPr>
        <w:spacing w:line="240" w:lineRule="exact" w:after="40"/>
        <w:jc w:val="both"/>
      </w:pPr>
      <w:r>
        <w:rPr>
          <w:rFonts w:ascii="Times New Roman" w:hAnsi="Times New Roman"/>
          <w:sz w:val="20"/>
        </w:rPr>
        <w:t>We present results across model scaling experiments in Table 3. The table includes the FAISS baseline and progressive model scaling from v5.3.1 through v5.6. All results in Tables 3 and 5 are reported for the speaker pair 1580→7127; multi-pair evaluation is reported separately in Table 6.</w:t>
      </w:r>
    </w:p>
    <w:p>
      <w:pPr>
        <w:spacing w:before="160" w:after="80" w:line="240" w:lineRule="exact"/>
        <w:jc w:val="center"/>
      </w:pPr>
      <w:r>
        <w:rPr>
          <w:rFonts w:ascii="Times New Roman" w:hAnsi="Times New Roman"/>
          <w:sz w:val="18"/>
        </w:rPr>
        <w:t>Table 3. Model scaling results and comparison with FAISS baseline (pair 1580→7127).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gridCol w:w="1215"/>
      </w:tblGrid>
      <w:tr>
        <w:tc>
          <w:tcPr>
            <w:tcW w:type="dxa" w:w="1215"/>
            <w:shd w:fill="E8E8E8" w:val="clear"/>
          </w:tcPr>
          <w:p>
            <w:pPr>
              <w:spacing w:before="20" w:after="20"/>
              <w:jc w:val="center"/>
            </w:pPr>
            <w:r/>
            <w:r>
              <w:rPr>
                <w:rFonts w:ascii="Times New Roman" w:hAnsi="Times New Roman"/>
                <w:b/>
                <w:sz w:val="18"/>
              </w:rPr>
              <w:t>Model</w:t>
            </w:r>
          </w:p>
        </w:tc>
        <w:tc>
          <w:tcPr>
            <w:tcW w:type="dxa" w:w="1215"/>
            <w:shd w:fill="E8E8E8" w:val="clear"/>
          </w:tcPr>
          <w:p>
            <w:pPr>
              <w:spacing w:before="20" w:after="20"/>
              <w:jc w:val="center"/>
            </w:pPr>
            <w:r/>
            <w:r>
              <w:rPr>
                <w:rFonts w:ascii="Times New Roman" w:hAnsi="Times New Roman"/>
                <w:b/>
                <w:sz w:val="18"/>
              </w:rPr>
              <w:t>Params</w:t>
            </w:r>
          </w:p>
        </w:tc>
        <w:tc>
          <w:tcPr>
            <w:tcW w:type="dxa" w:w="1215"/>
            <w:shd w:fill="E8E8E8" w:val="clear"/>
          </w:tcPr>
          <w:p>
            <w:pPr>
              <w:spacing w:before="20" w:after="20"/>
              <w:jc w:val="center"/>
            </w:pPr>
            <w:r/>
            <w:r>
              <w:rPr>
                <w:rFonts w:ascii="Times New Roman" w:hAnsi="Times New Roman"/>
                <w:b/>
                <w:sz w:val="18"/>
              </w:rPr>
              <w:t>Steps</w:t>
            </w:r>
          </w:p>
        </w:tc>
        <w:tc>
          <w:tcPr>
            <w:tcW w:type="dxa" w:w="1215"/>
            <w:shd w:fill="E8E8E8" w:val="clear"/>
          </w:tcPr>
          <w:p>
            <w:pPr>
              <w:spacing w:before="20" w:after="20"/>
              <w:jc w:val="center"/>
            </w:pPr>
            <w:r/>
            <w:r>
              <w:rPr>
                <w:rFonts w:ascii="Times New Roman" w:hAnsi="Times New Roman"/>
                <w:b/>
                <w:sz w:val="18"/>
              </w:rPr>
              <w:t>Loss</w:t>
            </w:r>
          </w:p>
        </w:tc>
        <w:tc>
          <w:tcPr>
            <w:tcW w:type="dxa" w:w="1215"/>
            <w:shd w:fill="E8E8E8" w:val="clear"/>
          </w:tcPr>
          <w:p>
            <w:pPr>
              <w:spacing w:before="20" w:after="20"/>
              <w:jc w:val="center"/>
            </w:pPr>
            <w:r/>
            <w:r>
              <w:rPr>
                <w:rFonts w:ascii="Times New Roman" w:hAnsi="Times New Roman"/>
                <w:b/>
                <w:sz w:val="18"/>
              </w:rPr>
              <w:t>CB1 Acc</w:t>
            </w:r>
          </w:p>
        </w:tc>
        <w:tc>
          <w:tcPr>
            <w:tcW w:type="dxa" w:w="1215"/>
            <w:shd w:fill="E8E8E8" w:val="clear"/>
          </w:tcPr>
          <w:p>
            <w:pPr>
              <w:spacing w:before="20" w:after="20"/>
              <w:jc w:val="center"/>
            </w:pPr>
            <w:r/>
            <w:r>
              <w:rPr>
                <w:rFonts w:ascii="Times New Roman" w:hAnsi="Times New Roman"/>
                <w:b/>
                <w:sz w:val="18"/>
              </w:rPr>
              <w:t>SECS</w:t>
            </w:r>
          </w:p>
        </w:tc>
        <w:tc>
          <w:tcPr>
            <w:tcW w:type="dxa" w:w="1215"/>
            <w:shd w:fill="E8E8E8" w:val="clear"/>
          </w:tcPr>
          <w:p>
            <w:pPr>
              <w:spacing w:before="20" w:after="20"/>
              <w:jc w:val="center"/>
            </w:pPr>
            <w:r/>
            <w:r>
              <w:rPr>
                <w:rFonts w:ascii="Times New Roman" w:hAnsi="Times New Roman"/>
                <w:b/>
                <w:sz w:val="18"/>
              </w:rPr>
              <w:t>MCD</w:t>
            </w:r>
          </w:p>
        </w:tc>
        <w:tc>
          <w:tcPr>
            <w:tcW w:type="dxa" w:w="1215"/>
            <w:shd w:fill="E8E8E8" w:val="clear"/>
          </w:tcPr>
          <w:p>
            <w:pPr>
              <w:spacing w:before="20" w:after="20"/>
              <w:jc w:val="center"/>
            </w:pPr>
            <w:r/>
            <w:r>
              <w:rPr>
                <w:rFonts w:ascii="Times New Roman" w:hAnsi="Times New Roman"/>
                <w:b/>
                <w:sz w:val="18"/>
              </w:rPr>
              <w:t>WER</w:t>
            </w:r>
          </w:p>
        </w:tc>
      </w:tr>
      <w:tr>
        <w:tc>
          <w:tcPr>
            <w:tcW w:type="dxa" w:w="1215"/>
          </w:tcPr>
          <w:p>
            <w:pPr>
              <w:spacing w:before="20" w:after="20"/>
              <w:jc w:val="center"/>
            </w:pPr>
            <w:r/>
            <w:r>
              <w:rPr>
                <w:rFonts w:ascii="Times New Roman" w:hAnsi="Times New Roman"/>
                <w:sz w:val="18"/>
              </w:rPr>
              <w:t>v5.3.1 (d=768)</w:t>
            </w:r>
          </w:p>
        </w:tc>
        <w:tc>
          <w:tcPr>
            <w:tcW w:type="dxa" w:w="1215"/>
          </w:tcPr>
          <w:p>
            <w:pPr>
              <w:spacing w:before="20" w:after="20"/>
              <w:jc w:val="center"/>
            </w:pPr>
            <w:r/>
            <w:r>
              <w:rPr>
                <w:rFonts w:ascii="Times New Roman" w:hAnsi="Times New Roman"/>
                <w:sz w:val="18"/>
              </w:rPr>
              <w:t>250.7M</w:t>
            </w:r>
          </w:p>
        </w:tc>
        <w:tc>
          <w:tcPr>
            <w:tcW w:type="dxa" w:w="1215"/>
          </w:tcPr>
          <w:p>
            <w:pPr>
              <w:spacing w:before="20" w:after="20"/>
              <w:jc w:val="center"/>
            </w:pPr>
            <w:r/>
            <w:r>
              <w:rPr>
                <w:rFonts w:ascii="Times New Roman" w:hAnsi="Times New Roman"/>
                <w:sz w:val="18"/>
              </w:rPr>
              <w:t>30k</w:t>
            </w:r>
          </w:p>
        </w:tc>
        <w:tc>
          <w:tcPr>
            <w:tcW w:type="dxa" w:w="1215"/>
          </w:tcPr>
          <w:p>
            <w:pPr>
              <w:spacing w:before="20" w:after="20"/>
              <w:jc w:val="center"/>
            </w:pPr>
            <w:r/>
            <w:r>
              <w:rPr>
                <w:rFonts w:ascii="Times New Roman" w:hAnsi="Times New Roman"/>
                <w:sz w:val="18"/>
              </w:rPr>
              <w:t>5.317</w:t>
            </w:r>
          </w:p>
        </w:tc>
        <w:tc>
          <w:tcPr>
            <w:tcW w:type="dxa" w:w="1215"/>
          </w:tcPr>
          <w:p>
            <w:pPr>
              <w:spacing w:before="20" w:after="20"/>
              <w:jc w:val="center"/>
            </w:pPr>
            <w:r/>
            <w:r>
              <w:rPr>
                <w:rFonts w:ascii="Times New Roman" w:hAnsi="Times New Roman"/>
                <w:sz w:val="18"/>
              </w:rPr>
              <w:t>31.3%</w:t>
            </w:r>
          </w:p>
        </w:tc>
        <w:tc>
          <w:tcPr>
            <w:tcW w:type="dxa" w:w="1215"/>
          </w:tcPr>
          <w:p>
            <w:pPr>
              <w:spacing w:before="20" w:after="20"/>
              <w:jc w:val="center"/>
            </w:pPr>
            <w:r/>
            <w:r>
              <w:rPr>
                <w:rFonts w:ascii="Times New Roman" w:hAnsi="Times New Roman"/>
                <w:sz w:val="18"/>
              </w:rPr>
              <w:t>0.757</w:t>
            </w:r>
          </w:p>
        </w:tc>
        <w:tc>
          <w:tcPr>
            <w:tcW w:type="dxa" w:w="1215"/>
          </w:tcPr>
          <w:p>
            <w:pPr>
              <w:spacing w:before="20" w:after="20"/>
              <w:jc w:val="center"/>
            </w:pPr>
            <w:r/>
            <w:r>
              <w:rPr>
                <w:rFonts w:ascii="Times New Roman" w:hAnsi="Times New Roman"/>
                <w:sz w:val="18"/>
              </w:rPr>
              <w:t>132.8</w:t>
            </w:r>
          </w:p>
        </w:tc>
        <w:tc>
          <w:tcPr>
            <w:tcW w:type="dxa" w:w="1215"/>
          </w:tcPr>
          <w:p>
            <w:pPr>
              <w:spacing w:before="20" w:after="20"/>
              <w:jc w:val="center"/>
            </w:pPr>
            <w:r/>
            <w:r>
              <w:rPr>
                <w:rFonts w:ascii="Times New Roman" w:hAnsi="Times New Roman"/>
                <w:sz w:val="18"/>
              </w:rPr>
              <w:t>—</w:t>
            </w:r>
          </w:p>
        </w:tc>
      </w:tr>
      <w:tr>
        <w:tc>
          <w:tcPr>
            <w:tcW w:type="dxa" w:w="1215"/>
          </w:tcPr>
          <w:p>
            <w:pPr>
              <w:spacing w:before="20" w:after="20"/>
              <w:jc w:val="center"/>
            </w:pPr>
            <w:r/>
            <w:r>
              <w:rPr>
                <w:rFonts w:ascii="Times New Roman" w:hAnsi="Times New Roman"/>
                <w:sz w:val="18"/>
              </w:rPr>
              <w:t>v5.3.1 (d=1024)</w:t>
            </w:r>
          </w:p>
        </w:tc>
        <w:tc>
          <w:tcPr>
            <w:tcW w:type="dxa" w:w="1215"/>
          </w:tcPr>
          <w:p>
            <w:pPr>
              <w:spacing w:before="20" w:after="20"/>
              <w:jc w:val="center"/>
            </w:pPr>
            <w:r/>
            <w:r>
              <w:rPr>
                <w:rFonts w:ascii="Times New Roman" w:hAnsi="Times New Roman"/>
                <w:sz w:val="18"/>
              </w:rPr>
              <w:t>419.5M</w:t>
            </w:r>
          </w:p>
        </w:tc>
        <w:tc>
          <w:tcPr>
            <w:tcW w:type="dxa" w:w="1215"/>
          </w:tcPr>
          <w:p>
            <w:pPr>
              <w:spacing w:before="20" w:after="20"/>
              <w:jc w:val="center"/>
            </w:pPr>
            <w:r/>
            <w:r>
              <w:rPr>
                <w:rFonts w:ascii="Times New Roman" w:hAnsi="Times New Roman"/>
                <w:sz w:val="18"/>
              </w:rPr>
              <w:t>30k</w:t>
            </w:r>
          </w:p>
        </w:tc>
        <w:tc>
          <w:tcPr>
            <w:tcW w:type="dxa" w:w="1215"/>
          </w:tcPr>
          <w:p>
            <w:pPr>
              <w:spacing w:before="20" w:after="20"/>
              <w:jc w:val="center"/>
            </w:pPr>
            <w:r/>
            <w:r>
              <w:rPr>
                <w:rFonts w:ascii="Times New Roman" w:hAnsi="Times New Roman"/>
                <w:sz w:val="18"/>
              </w:rPr>
              <w:t>4.761</w:t>
            </w:r>
          </w:p>
        </w:tc>
        <w:tc>
          <w:tcPr>
            <w:tcW w:type="dxa" w:w="1215"/>
          </w:tcPr>
          <w:p>
            <w:pPr>
              <w:spacing w:before="20" w:after="20"/>
              <w:jc w:val="center"/>
            </w:pPr>
            <w:r/>
            <w:r>
              <w:rPr>
                <w:rFonts w:ascii="Times New Roman" w:hAnsi="Times New Roman"/>
                <w:sz w:val="18"/>
              </w:rPr>
              <w:t>40.5%</w:t>
            </w:r>
          </w:p>
        </w:tc>
        <w:tc>
          <w:tcPr>
            <w:tcW w:type="dxa" w:w="1215"/>
          </w:tcPr>
          <w:p>
            <w:pPr>
              <w:spacing w:before="20" w:after="20"/>
              <w:jc w:val="center"/>
            </w:pPr>
            <w:r/>
            <w:r>
              <w:rPr>
                <w:rFonts w:ascii="Times New Roman" w:hAnsi="Times New Roman"/>
                <w:sz w:val="18"/>
              </w:rPr>
              <w:t>0.765</w:t>
            </w:r>
          </w:p>
        </w:tc>
        <w:tc>
          <w:tcPr>
            <w:tcW w:type="dxa" w:w="1215"/>
          </w:tcPr>
          <w:p>
            <w:pPr>
              <w:spacing w:before="20" w:after="20"/>
              <w:jc w:val="center"/>
            </w:pPr>
            <w:r/>
            <w:r>
              <w:rPr>
                <w:rFonts w:ascii="Times New Roman" w:hAnsi="Times New Roman"/>
                <w:sz w:val="18"/>
              </w:rPr>
              <w:t>129.4</w:t>
            </w:r>
          </w:p>
        </w:tc>
        <w:tc>
          <w:tcPr>
            <w:tcW w:type="dxa" w:w="1215"/>
          </w:tcPr>
          <w:p>
            <w:pPr>
              <w:spacing w:before="20" w:after="20"/>
              <w:jc w:val="center"/>
            </w:pPr>
            <w:r/>
            <w:r>
              <w:rPr>
                <w:rFonts w:ascii="Times New Roman" w:hAnsi="Times New Roman"/>
                <w:sz w:val="18"/>
              </w:rPr>
              <w:t>—</w:t>
            </w:r>
          </w:p>
        </w:tc>
      </w:tr>
      <w:tr>
        <w:tc>
          <w:tcPr>
            <w:tcW w:type="dxa" w:w="1215"/>
          </w:tcPr>
          <w:p>
            <w:pPr>
              <w:spacing w:before="20" w:after="20"/>
              <w:jc w:val="center"/>
            </w:pPr>
            <w:r/>
            <w:r>
              <w:rPr>
                <w:rFonts w:ascii="Times New Roman" w:hAnsi="Times New Roman"/>
                <w:sz w:val="18"/>
              </w:rPr>
              <w:t>v5.3.2 (d=1280)</w:t>
            </w:r>
          </w:p>
        </w:tc>
        <w:tc>
          <w:tcPr>
            <w:tcW w:type="dxa" w:w="1215"/>
          </w:tcPr>
          <w:p>
            <w:pPr>
              <w:spacing w:before="20" w:after="20"/>
              <w:jc w:val="center"/>
            </w:pPr>
            <w:r/>
            <w:r>
              <w:rPr>
                <w:rFonts w:ascii="Times New Roman" w:hAnsi="Times New Roman"/>
                <w:sz w:val="18"/>
              </w:rPr>
              <w:t>706.4M</w:t>
            </w:r>
          </w:p>
        </w:tc>
        <w:tc>
          <w:tcPr>
            <w:tcW w:type="dxa" w:w="1215"/>
          </w:tcPr>
          <w:p>
            <w:pPr>
              <w:spacing w:before="20" w:after="20"/>
              <w:jc w:val="center"/>
            </w:pPr>
            <w:r/>
            <w:r>
              <w:rPr>
                <w:rFonts w:ascii="Times New Roman" w:hAnsi="Times New Roman"/>
                <w:sz w:val="18"/>
              </w:rPr>
              <w:t>60k</w:t>
            </w:r>
          </w:p>
        </w:tc>
        <w:tc>
          <w:tcPr>
            <w:tcW w:type="dxa" w:w="1215"/>
          </w:tcPr>
          <w:p>
            <w:pPr>
              <w:spacing w:before="20" w:after="20"/>
              <w:jc w:val="center"/>
            </w:pPr>
            <w:r/>
            <w:r>
              <w:rPr>
                <w:rFonts w:ascii="Times New Roman" w:hAnsi="Times New Roman"/>
                <w:sz w:val="18"/>
              </w:rPr>
              <w:t>2.760</w:t>
            </w:r>
          </w:p>
        </w:tc>
        <w:tc>
          <w:tcPr>
            <w:tcW w:type="dxa" w:w="1215"/>
          </w:tcPr>
          <w:p>
            <w:pPr>
              <w:spacing w:before="20" w:after="20"/>
              <w:jc w:val="center"/>
            </w:pPr>
            <w:r/>
            <w:r>
              <w:rPr>
                <w:rFonts w:ascii="Times New Roman" w:hAnsi="Times New Roman"/>
                <w:sz w:val="18"/>
              </w:rPr>
              <w:t>57%</w:t>
            </w:r>
          </w:p>
        </w:tc>
        <w:tc>
          <w:tcPr>
            <w:tcW w:type="dxa" w:w="1215"/>
          </w:tcPr>
          <w:p>
            <w:pPr>
              <w:spacing w:before="20" w:after="20"/>
              <w:jc w:val="center"/>
            </w:pPr>
            <w:r/>
            <w:r>
              <w:rPr>
                <w:rFonts w:ascii="Times New Roman" w:hAnsi="Times New Roman"/>
                <w:sz w:val="18"/>
              </w:rPr>
              <w:t>0.765</w:t>
            </w:r>
          </w:p>
        </w:tc>
        <w:tc>
          <w:tcPr>
            <w:tcW w:type="dxa" w:w="1215"/>
          </w:tcPr>
          <w:p>
            <w:pPr>
              <w:spacing w:before="20" w:after="20"/>
              <w:jc w:val="center"/>
            </w:pPr>
            <w:r/>
            <w:r>
              <w:rPr>
                <w:rFonts w:ascii="Times New Roman" w:hAnsi="Times New Roman"/>
                <w:sz w:val="18"/>
              </w:rPr>
              <w:t>—</w:t>
            </w:r>
          </w:p>
        </w:tc>
        <w:tc>
          <w:tcPr>
            <w:tcW w:type="dxa" w:w="1215"/>
          </w:tcPr>
          <w:p>
            <w:pPr>
              <w:spacing w:before="20" w:after="20"/>
              <w:jc w:val="center"/>
            </w:pPr>
            <w:r/>
            <w:r>
              <w:rPr>
                <w:rFonts w:ascii="Times New Roman" w:hAnsi="Times New Roman"/>
                <w:sz w:val="18"/>
              </w:rPr>
              <w:t>15.7%</w:t>
            </w:r>
          </w:p>
        </w:tc>
      </w:tr>
      <w:tr>
        <w:tc>
          <w:tcPr>
            <w:tcW w:type="dxa" w:w="1215"/>
          </w:tcPr>
          <w:p>
            <w:pPr>
              <w:spacing w:before="20" w:after="20"/>
              <w:jc w:val="center"/>
            </w:pPr>
            <w:r/>
            <w:r>
              <w:rPr>
                <w:rFonts w:ascii="Times New Roman" w:hAnsi="Times New Roman"/>
                <w:sz w:val="18"/>
              </w:rPr>
              <w:t>v5.6 (d=1280)</w:t>
            </w:r>
          </w:p>
        </w:tc>
        <w:tc>
          <w:tcPr>
            <w:tcW w:type="dxa" w:w="1215"/>
          </w:tcPr>
          <w:p>
            <w:pPr>
              <w:spacing w:before="20" w:after="20"/>
              <w:jc w:val="center"/>
            </w:pPr>
            <w:r/>
            <w:r>
              <w:rPr>
                <w:rFonts w:ascii="Times New Roman" w:hAnsi="Times New Roman"/>
                <w:sz w:val="18"/>
              </w:rPr>
              <w:t>706.4M</w:t>
            </w:r>
          </w:p>
        </w:tc>
        <w:tc>
          <w:tcPr>
            <w:tcW w:type="dxa" w:w="1215"/>
          </w:tcPr>
          <w:p>
            <w:pPr>
              <w:spacing w:before="20" w:after="20"/>
              <w:jc w:val="center"/>
            </w:pPr>
            <w:r/>
            <w:r>
              <w:rPr>
                <w:rFonts w:ascii="Times New Roman" w:hAnsi="Times New Roman"/>
                <w:sz w:val="18"/>
              </w:rPr>
              <w:t>60k</w:t>
            </w:r>
          </w:p>
        </w:tc>
        <w:tc>
          <w:tcPr>
            <w:tcW w:type="dxa" w:w="1215"/>
          </w:tcPr>
          <w:p>
            <w:pPr>
              <w:spacing w:before="20" w:after="20"/>
              <w:jc w:val="center"/>
            </w:pPr>
            <w:r/>
            <w:r>
              <w:rPr>
                <w:rFonts w:ascii="Times New Roman" w:hAnsi="Times New Roman"/>
                <w:sz w:val="18"/>
              </w:rPr>
              <w:t>2.680</w:t>
            </w:r>
          </w:p>
        </w:tc>
        <w:tc>
          <w:tcPr>
            <w:tcW w:type="dxa" w:w="1215"/>
          </w:tcPr>
          <w:p>
            <w:pPr>
              <w:spacing w:before="20" w:after="20"/>
              <w:jc w:val="center"/>
            </w:pPr>
            <w:r/>
            <w:r>
              <w:rPr>
                <w:rFonts w:ascii="Times New Roman" w:hAnsi="Times New Roman"/>
                <w:sz w:val="18"/>
              </w:rPr>
              <w:t>58%</w:t>
            </w:r>
          </w:p>
        </w:tc>
        <w:tc>
          <w:tcPr>
            <w:tcW w:type="dxa" w:w="1215"/>
          </w:tcPr>
          <w:p>
            <w:pPr>
              <w:spacing w:before="20" w:after="20"/>
              <w:jc w:val="center"/>
            </w:pPr>
            <w:r/>
            <w:r>
              <w:rPr>
                <w:rFonts w:ascii="Times New Roman" w:hAnsi="Times New Roman"/>
                <w:sz w:val="18"/>
              </w:rPr>
              <w:t>0.842</w:t>
            </w:r>
          </w:p>
        </w:tc>
        <w:tc>
          <w:tcPr>
            <w:tcW w:type="dxa" w:w="1215"/>
          </w:tcPr>
          <w:p>
            <w:pPr>
              <w:spacing w:before="20" w:after="20"/>
              <w:jc w:val="center"/>
            </w:pPr>
            <w:r/>
            <w:r>
              <w:rPr>
                <w:rFonts w:ascii="Times New Roman" w:hAnsi="Times New Roman"/>
                <w:sz w:val="18"/>
              </w:rPr>
              <w:t>112.3</w:t>
            </w:r>
          </w:p>
        </w:tc>
        <w:tc>
          <w:tcPr>
            <w:tcW w:type="dxa" w:w="1215"/>
          </w:tcPr>
          <w:p>
            <w:pPr>
              <w:spacing w:before="20" w:after="20"/>
              <w:jc w:val="center"/>
            </w:pPr>
            <w:r/>
            <w:r>
              <w:rPr>
                <w:rFonts w:ascii="Times New Roman" w:hAnsi="Times New Roman"/>
                <w:sz w:val="18"/>
              </w:rPr>
              <w:t>14.9%</w:t>
            </w:r>
          </w:p>
        </w:tc>
      </w:tr>
      <w:tr>
        <w:tc>
          <w:tcPr>
            <w:tcW w:type="dxa" w:w="1215"/>
          </w:tcPr>
          <w:p>
            <w:pPr>
              <w:spacing w:before="20" w:after="20"/>
              <w:jc w:val="center"/>
            </w:pPr>
            <w:r/>
            <w:r>
              <w:rPr>
                <w:rFonts w:ascii="Times New Roman" w:hAnsi="Times New Roman"/>
                <w:sz w:val="18"/>
              </w:rPr>
              <w:t>FAISS baseline</w:t>
            </w:r>
          </w:p>
        </w:tc>
        <w:tc>
          <w:tcPr>
            <w:tcW w:type="dxa" w:w="1215"/>
          </w:tcPr>
          <w:p>
            <w:pPr>
              <w:spacing w:before="20" w:after="20"/>
              <w:jc w:val="center"/>
            </w:pPr>
            <w:r/>
            <w:r>
              <w:rPr>
                <w:rFonts w:ascii="Times New Roman" w:hAnsi="Times New Roman"/>
                <w:sz w:val="18"/>
              </w:rPr>
              <w:t>—</w:t>
            </w:r>
          </w:p>
        </w:tc>
        <w:tc>
          <w:tcPr>
            <w:tcW w:type="dxa" w:w="1215"/>
          </w:tcPr>
          <w:p>
            <w:pPr>
              <w:spacing w:before="20" w:after="20"/>
              <w:jc w:val="center"/>
            </w:pPr>
            <w:r/>
            <w:r>
              <w:rPr>
                <w:rFonts w:ascii="Times New Roman" w:hAnsi="Times New Roman"/>
                <w:sz w:val="18"/>
              </w:rPr>
              <w:t>—</w:t>
            </w:r>
          </w:p>
        </w:tc>
        <w:tc>
          <w:tcPr>
            <w:tcW w:type="dxa" w:w="1215"/>
          </w:tcPr>
          <w:p>
            <w:pPr>
              <w:spacing w:before="20" w:after="20"/>
              <w:jc w:val="center"/>
            </w:pPr>
            <w:r/>
            <w:r>
              <w:rPr>
                <w:rFonts w:ascii="Times New Roman" w:hAnsi="Times New Roman"/>
                <w:sz w:val="18"/>
              </w:rPr>
              <w:t>—</w:t>
            </w:r>
          </w:p>
        </w:tc>
        <w:tc>
          <w:tcPr>
            <w:tcW w:type="dxa" w:w="1215"/>
          </w:tcPr>
          <w:p>
            <w:pPr>
              <w:spacing w:before="20" w:after="20"/>
              <w:jc w:val="center"/>
            </w:pPr>
            <w:r/>
            <w:r>
              <w:rPr>
                <w:rFonts w:ascii="Times New Roman" w:hAnsi="Times New Roman"/>
                <w:sz w:val="18"/>
              </w:rPr>
              <w:t>—</w:t>
            </w:r>
          </w:p>
        </w:tc>
        <w:tc>
          <w:tcPr>
            <w:tcW w:type="dxa" w:w="1215"/>
          </w:tcPr>
          <w:p>
            <w:pPr>
              <w:spacing w:before="20" w:after="20"/>
              <w:jc w:val="center"/>
            </w:pPr>
            <w:r/>
            <w:r>
              <w:rPr>
                <w:rFonts w:ascii="Times New Roman" w:hAnsi="Times New Roman"/>
                <w:sz w:val="18"/>
              </w:rPr>
              <w:t>0.879</w:t>
            </w:r>
          </w:p>
        </w:tc>
        <w:tc>
          <w:tcPr>
            <w:tcW w:type="dxa" w:w="1215"/>
          </w:tcPr>
          <w:p>
            <w:pPr>
              <w:spacing w:before="20" w:after="20"/>
              <w:jc w:val="center"/>
            </w:pPr>
            <w:r/>
            <w:r>
              <w:rPr>
                <w:rFonts w:ascii="Times New Roman" w:hAnsi="Times New Roman"/>
                <w:sz w:val="18"/>
              </w:rPr>
              <w:t>106.5</w:t>
            </w:r>
          </w:p>
        </w:tc>
        <w:tc>
          <w:tcPr>
            <w:tcW w:type="dxa" w:w="1215"/>
          </w:tcPr>
          <w:p>
            <w:pPr>
              <w:spacing w:before="20" w:after="20"/>
              <w:jc w:val="center"/>
            </w:pPr>
            <w:r/>
            <w:r>
              <w:rPr>
                <w:rFonts w:ascii="Times New Roman" w:hAnsi="Times New Roman"/>
                <w:sz w:val="18"/>
              </w:rPr>
              <w:t>18.2%</w:t>
            </w:r>
          </w:p>
        </w:tc>
      </w:tr>
    </w:tbl>
    <w:p>
      <w:pPr>
        <w:spacing w:line="240" w:lineRule="exact" w:after="40"/>
        <w:jc w:val="both"/>
      </w:pPr>
      <w:r>
        <w:rPr>
          <w:rFonts w:ascii="Times New Roman" w:hAnsi="Times New Roman"/>
          <w:sz w:val="20"/>
        </w:rPr>
        <w:t>Scaling the model dimension from 768 to 1280 yields consistent improvements in both loss and codebook accuracy. The 706M-parameter v5.3.2 model achieves 57% CB1 accuracy but shows no SECS improvement over smaller models (0.765), indicating that scale alone does not resolve the speaker similarity challenge. The introduction of SECS regularization in v5.6 produces a substantial improvement from 0.765 to 0.842 (+0.077) while maintaining comparable codebook accuracy and slightly reducing WER from 15.7% to 14.9%.</w:t>
      </w:r>
    </w:p>
    <w:p>
      <w:pPr>
        <w:spacing w:line="240" w:lineRule="exact" w:after="40"/>
        <w:jc w:val="both"/>
      </w:pPr>
      <w:r>
        <w:rPr>
          <w:rFonts w:ascii="Times New Roman" w:hAnsi="Times New Roman"/>
          <w:sz w:val="20"/>
        </w:rPr>
        <w:t>The WER results provide additional evidence of the refinement model's value. The FAISS baseline produces a WER of 18.2%, reflecting the intelligibility degradation caused by frame-level retrieval artifacts. All CRT models reduce WER, with v5.6 achieving 14.9% on pair 1580→7127, a 3.3 percentage point improvement that corresponds to meaningful gains in content preservation.</w:t>
      </w:r>
    </w:p>
    <w:p>
      <w:pPr>
        <w:spacing w:line="240" w:lineRule="exact" w:after="40"/>
        <w:jc w:val="both"/>
      </w:pPr>
      <w:r>
        <w:rPr>
          <w:rFonts w:ascii="Times New Roman" w:hAnsi="Times New Roman"/>
          <w:sz w:val="20"/>
        </w:rPr>
        <w:t>The curriculum corruption training produces a characteristic loss curve with distinct phase transitions: rapid convergence during Phase 1, a temporary spike at the Phase 2 boundary as corruption increases, followed by renewed convergence and stabilization during Phase 3. This pattern confirms that the model successfully adapts to progressively harder denoising challenges.</w:t>
      </w:r>
    </w:p>
    <w:p>
      <w:pPr>
        <w:spacing w:line="240" w:lineRule="exact" w:after="40"/>
        <w:jc w:val="both"/>
      </w:pPr>
      <w:r>
        <w:rPr>
          <w:rFonts w:ascii="Times New Roman" w:hAnsi="Times New Roman"/>
          <w:sz w:val="20"/>
        </w:rPr>
        <w:t>To isolate the contributions of curriculum corruption and SECS regularization, we conduct a controlled ablation study holding model architecture (706M, d=1280) constant and varying only the training strategy. Results are shown in Table 5.</w:t>
      </w:r>
    </w:p>
    <w:p>
      <w:pPr>
        <w:spacing w:before="160" w:after="80" w:line="240" w:lineRule="exact"/>
        <w:jc w:val="center"/>
      </w:pPr>
      <w:r>
        <w:rPr>
          <w:rFonts w:ascii="Times New Roman" w:hAnsi="Times New Roman"/>
          <w:sz w:val="18"/>
        </w:rPr>
        <w:t>Table 5. Ablation study: curriculum corruption and SECS loss contributions (pair 1580→7127).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21"/>
        <w:gridCol w:w="1621"/>
        <w:gridCol w:w="1621"/>
        <w:gridCol w:w="1621"/>
        <w:gridCol w:w="1621"/>
        <w:gridCol w:w="1621"/>
      </w:tblGrid>
      <w:tr>
        <w:tc>
          <w:tcPr>
            <w:tcW w:type="dxa" w:w="1621"/>
            <w:shd w:fill="E8E8E8" w:val="clear"/>
          </w:tcPr>
          <w:p>
            <w:pPr>
              <w:spacing w:before="20" w:after="20"/>
              <w:jc w:val="center"/>
            </w:pPr>
            <w:r/>
            <w:r>
              <w:rPr>
                <w:rFonts w:ascii="Times New Roman" w:hAnsi="Times New Roman"/>
                <w:b/>
                <w:sz w:val="18"/>
              </w:rPr>
              <w:t>Config</w:t>
            </w:r>
          </w:p>
        </w:tc>
        <w:tc>
          <w:tcPr>
            <w:tcW w:type="dxa" w:w="1621"/>
            <w:shd w:fill="E8E8E8" w:val="clear"/>
          </w:tcPr>
          <w:p>
            <w:pPr>
              <w:spacing w:before="20" w:after="20"/>
              <w:jc w:val="center"/>
            </w:pPr>
            <w:r/>
            <w:r>
              <w:rPr>
                <w:rFonts w:ascii="Times New Roman" w:hAnsi="Times New Roman"/>
                <w:b/>
                <w:sz w:val="18"/>
              </w:rPr>
              <w:t>Curriculum</w:t>
            </w:r>
          </w:p>
        </w:tc>
        <w:tc>
          <w:tcPr>
            <w:tcW w:type="dxa" w:w="1621"/>
            <w:shd w:fill="E8E8E8" w:val="clear"/>
          </w:tcPr>
          <w:p>
            <w:pPr>
              <w:spacing w:before="20" w:after="20"/>
              <w:jc w:val="center"/>
            </w:pPr>
            <w:r/>
            <w:r>
              <w:rPr>
                <w:rFonts w:ascii="Times New Roman" w:hAnsi="Times New Roman"/>
                <w:b/>
                <w:sz w:val="18"/>
              </w:rPr>
              <w:t>SECS Loss</w:t>
            </w:r>
          </w:p>
        </w:tc>
        <w:tc>
          <w:tcPr>
            <w:tcW w:type="dxa" w:w="1621"/>
            <w:shd w:fill="E8E8E8" w:val="clear"/>
          </w:tcPr>
          <w:p>
            <w:pPr>
              <w:spacing w:before="20" w:after="20"/>
              <w:jc w:val="center"/>
            </w:pPr>
            <w:r/>
            <w:r>
              <w:rPr>
                <w:rFonts w:ascii="Times New Roman" w:hAnsi="Times New Roman"/>
                <w:b/>
                <w:sz w:val="18"/>
              </w:rPr>
              <w:t>Loss</w:t>
            </w:r>
          </w:p>
        </w:tc>
        <w:tc>
          <w:tcPr>
            <w:tcW w:type="dxa" w:w="1621"/>
            <w:shd w:fill="E8E8E8" w:val="clear"/>
          </w:tcPr>
          <w:p>
            <w:pPr>
              <w:spacing w:before="20" w:after="20"/>
              <w:jc w:val="center"/>
            </w:pPr>
            <w:r/>
            <w:r>
              <w:rPr>
                <w:rFonts w:ascii="Times New Roman" w:hAnsi="Times New Roman"/>
                <w:b/>
                <w:sz w:val="18"/>
              </w:rPr>
              <w:t>CB1 Acc</w:t>
            </w:r>
          </w:p>
        </w:tc>
        <w:tc>
          <w:tcPr>
            <w:tcW w:type="dxa" w:w="1621"/>
            <w:shd w:fill="E8E8E8" w:val="clear"/>
          </w:tcPr>
          <w:p>
            <w:pPr>
              <w:spacing w:before="20" w:after="20"/>
              <w:jc w:val="center"/>
            </w:pPr>
            <w:r/>
            <w:r>
              <w:rPr>
                <w:rFonts w:ascii="Times New Roman" w:hAnsi="Times New Roman"/>
                <w:b/>
                <w:sz w:val="18"/>
              </w:rPr>
              <w:t>SECS</w:t>
            </w:r>
          </w:p>
        </w:tc>
      </w:tr>
      <w:tr>
        <w:tc>
          <w:tcPr>
            <w:tcW w:type="dxa" w:w="1621"/>
          </w:tcPr>
          <w:p>
            <w:pPr>
              <w:spacing w:before="20" w:after="20"/>
              <w:jc w:val="center"/>
            </w:pPr>
            <w:r/>
            <w:r>
              <w:rPr>
                <w:rFonts w:ascii="Times New Roman" w:hAnsi="Times New Roman"/>
                <w:sz w:val="18"/>
              </w:rPr>
              <w:t>A</w:t>
            </w:r>
          </w:p>
        </w:tc>
        <w:tc>
          <w:tcPr>
            <w:tcW w:type="dxa" w:w="1621"/>
          </w:tcPr>
          <w:p>
            <w:pPr>
              <w:spacing w:before="20" w:after="20"/>
              <w:jc w:val="center"/>
            </w:pPr>
            <w:r/>
            <w:r>
              <w:rPr>
                <w:rFonts w:ascii="Times New Roman" w:hAnsi="Times New Roman"/>
                <w:sz w:val="18"/>
              </w:rPr>
              <w:t>No (fixed 50%)</w:t>
            </w:r>
          </w:p>
        </w:tc>
        <w:tc>
          <w:tcPr>
            <w:tcW w:type="dxa" w:w="1621"/>
          </w:tcPr>
          <w:p>
            <w:pPr>
              <w:spacing w:before="20" w:after="20"/>
              <w:jc w:val="center"/>
            </w:pPr>
            <w:r/>
            <w:r>
              <w:rPr>
                <w:rFonts w:ascii="Times New Roman" w:hAnsi="Times New Roman"/>
                <w:sz w:val="18"/>
              </w:rPr>
              <w:t>No</w:t>
            </w:r>
          </w:p>
        </w:tc>
        <w:tc>
          <w:tcPr>
            <w:tcW w:type="dxa" w:w="1621"/>
          </w:tcPr>
          <w:p>
            <w:pPr>
              <w:spacing w:before="20" w:after="20"/>
              <w:jc w:val="center"/>
            </w:pPr>
            <w:r/>
            <w:r>
              <w:rPr>
                <w:rFonts w:ascii="Times New Roman" w:hAnsi="Times New Roman"/>
                <w:sz w:val="18"/>
              </w:rPr>
              <w:t>3.05</w:t>
            </w:r>
          </w:p>
        </w:tc>
        <w:tc>
          <w:tcPr>
            <w:tcW w:type="dxa" w:w="1621"/>
          </w:tcPr>
          <w:p>
            <w:pPr>
              <w:spacing w:before="20" w:after="20"/>
              <w:jc w:val="center"/>
            </w:pPr>
            <w:r/>
            <w:r>
              <w:rPr>
                <w:rFonts w:ascii="Times New Roman" w:hAnsi="Times New Roman"/>
                <w:sz w:val="18"/>
              </w:rPr>
              <w:t>54%</w:t>
            </w:r>
          </w:p>
        </w:tc>
        <w:tc>
          <w:tcPr>
            <w:tcW w:type="dxa" w:w="1621"/>
          </w:tcPr>
          <w:p>
            <w:pPr>
              <w:spacing w:before="20" w:after="20"/>
              <w:jc w:val="center"/>
            </w:pPr>
            <w:r/>
            <w:r>
              <w:rPr>
                <w:rFonts w:ascii="Times New Roman" w:hAnsi="Times New Roman"/>
                <w:sz w:val="18"/>
              </w:rPr>
              <w:t>0.768</w:t>
            </w:r>
          </w:p>
        </w:tc>
      </w:tr>
      <w:tr>
        <w:tc>
          <w:tcPr>
            <w:tcW w:type="dxa" w:w="1621"/>
          </w:tcPr>
          <w:p>
            <w:pPr>
              <w:spacing w:before="20" w:after="20"/>
              <w:jc w:val="center"/>
            </w:pPr>
            <w:r/>
            <w:r>
              <w:rPr>
                <w:rFonts w:ascii="Times New Roman" w:hAnsi="Times New Roman"/>
                <w:sz w:val="18"/>
              </w:rPr>
              <w:t>B</w:t>
            </w:r>
          </w:p>
        </w:tc>
        <w:tc>
          <w:tcPr>
            <w:tcW w:type="dxa" w:w="1621"/>
          </w:tcPr>
          <w:p>
            <w:pPr>
              <w:spacing w:before="20" w:after="20"/>
              <w:jc w:val="center"/>
            </w:pPr>
            <w:r/>
            <w:r>
              <w:rPr>
                <w:rFonts w:ascii="Times New Roman" w:hAnsi="Times New Roman"/>
                <w:sz w:val="18"/>
              </w:rPr>
              <w:t>Yes (30-50-70%)</w:t>
            </w:r>
          </w:p>
        </w:tc>
        <w:tc>
          <w:tcPr>
            <w:tcW w:type="dxa" w:w="1621"/>
          </w:tcPr>
          <w:p>
            <w:pPr>
              <w:spacing w:before="20" w:after="20"/>
              <w:jc w:val="center"/>
            </w:pPr>
            <w:r/>
            <w:r>
              <w:rPr>
                <w:rFonts w:ascii="Times New Roman" w:hAnsi="Times New Roman"/>
                <w:sz w:val="18"/>
              </w:rPr>
              <w:t>No</w:t>
            </w:r>
          </w:p>
        </w:tc>
        <w:tc>
          <w:tcPr>
            <w:tcW w:type="dxa" w:w="1621"/>
          </w:tcPr>
          <w:p>
            <w:pPr>
              <w:spacing w:before="20" w:after="20"/>
              <w:jc w:val="center"/>
            </w:pPr>
            <w:r/>
            <w:r>
              <w:rPr>
                <w:rFonts w:ascii="Times New Roman" w:hAnsi="Times New Roman"/>
                <w:sz w:val="18"/>
              </w:rPr>
              <w:t>2.76</w:t>
            </w:r>
          </w:p>
        </w:tc>
        <w:tc>
          <w:tcPr>
            <w:tcW w:type="dxa" w:w="1621"/>
          </w:tcPr>
          <w:p>
            <w:pPr>
              <w:spacing w:before="20" w:after="20"/>
              <w:jc w:val="center"/>
            </w:pPr>
            <w:r/>
            <w:r>
              <w:rPr>
                <w:rFonts w:ascii="Times New Roman" w:hAnsi="Times New Roman"/>
                <w:sz w:val="18"/>
              </w:rPr>
              <w:t>57%</w:t>
            </w:r>
          </w:p>
        </w:tc>
        <w:tc>
          <w:tcPr>
            <w:tcW w:type="dxa" w:w="1621"/>
          </w:tcPr>
          <w:p>
            <w:pPr>
              <w:spacing w:before="20" w:after="20"/>
              <w:jc w:val="center"/>
            </w:pPr>
            <w:r/>
            <w:r>
              <w:rPr>
                <w:rFonts w:ascii="Times New Roman" w:hAnsi="Times New Roman"/>
                <w:sz w:val="18"/>
              </w:rPr>
              <w:t>0.772</w:t>
            </w:r>
          </w:p>
        </w:tc>
      </w:tr>
      <w:tr>
        <w:tc>
          <w:tcPr>
            <w:tcW w:type="dxa" w:w="1621"/>
          </w:tcPr>
          <w:p>
            <w:pPr>
              <w:spacing w:before="20" w:after="20"/>
              <w:jc w:val="center"/>
            </w:pPr>
            <w:r/>
            <w:r>
              <w:rPr>
                <w:rFonts w:ascii="Times New Roman" w:hAnsi="Times New Roman"/>
                <w:sz w:val="18"/>
              </w:rPr>
              <w:t>C</w:t>
            </w:r>
          </w:p>
        </w:tc>
        <w:tc>
          <w:tcPr>
            <w:tcW w:type="dxa" w:w="1621"/>
          </w:tcPr>
          <w:p>
            <w:pPr>
              <w:spacing w:before="20" w:after="20"/>
              <w:jc w:val="center"/>
            </w:pPr>
            <w:r/>
            <w:r>
              <w:rPr>
                <w:rFonts w:ascii="Times New Roman" w:hAnsi="Times New Roman"/>
                <w:sz w:val="18"/>
              </w:rPr>
              <w:t>No (fixed 50%)</w:t>
            </w:r>
          </w:p>
        </w:tc>
        <w:tc>
          <w:tcPr>
            <w:tcW w:type="dxa" w:w="1621"/>
          </w:tcPr>
          <w:p>
            <w:pPr>
              <w:spacing w:before="20" w:after="20"/>
              <w:jc w:val="center"/>
            </w:pPr>
            <w:r/>
            <w:r>
              <w:rPr>
                <w:rFonts w:ascii="Times New Roman" w:hAnsi="Times New Roman"/>
                <w:sz w:val="18"/>
              </w:rPr>
              <w:t>Yes</w:t>
            </w:r>
          </w:p>
        </w:tc>
        <w:tc>
          <w:tcPr>
            <w:tcW w:type="dxa" w:w="1621"/>
          </w:tcPr>
          <w:p>
            <w:pPr>
              <w:spacing w:before="20" w:after="20"/>
              <w:jc w:val="center"/>
            </w:pPr>
            <w:r/>
            <w:r>
              <w:rPr>
                <w:rFonts w:ascii="Times New Roman" w:hAnsi="Times New Roman"/>
                <w:sz w:val="18"/>
              </w:rPr>
              <w:t>2.95</w:t>
            </w:r>
          </w:p>
        </w:tc>
        <w:tc>
          <w:tcPr>
            <w:tcW w:type="dxa" w:w="1621"/>
          </w:tcPr>
          <w:p>
            <w:pPr>
              <w:spacing w:before="20" w:after="20"/>
              <w:jc w:val="center"/>
            </w:pPr>
            <w:r/>
            <w:r>
              <w:rPr>
                <w:rFonts w:ascii="Times New Roman" w:hAnsi="Times New Roman"/>
                <w:sz w:val="18"/>
              </w:rPr>
              <w:t>55%</w:t>
            </w:r>
          </w:p>
        </w:tc>
        <w:tc>
          <w:tcPr>
            <w:tcW w:type="dxa" w:w="1621"/>
          </w:tcPr>
          <w:p>
            <w:pPr>
              <w:spacing w:before="20" w:after="20"/>
              <w:jc w:val="center"/>
            </w:pPr>
            <w:r/>
            <w:r>
              <w:rPr>
                <w:rFonts w:ascii="Times New Roman" w:hAnsi="Times New Roman"/>
                <w:sz w:val="18"/>
              </w:rPr>
              <w:t>0.831</w:t>
            </w:r>
          </w:p>
        </w:tc>
      </w:tr>
      <w:tr>
        <w:tc>
          <w:tcPr>
            <w:tcW w:type="dxa" w:w="1621"/>
          </w:tcPr>
          <w:p>
            <w:pPr>
              <w:spacing w:before="20" w:after="20"/>
              <w:jc w:val="center"/>
            </w:pPr>
            <w:r/>
            <w:r>
              <w:rPr>
                <w:rFonts w:ascii="Times New Roman" w:hAnsi="Times New Roman"/>
                <w:sz w:val="18"/>
              </w:rPr>
              <w:t>D (v5.6)</w:t>
            </w:r>
          </w:p>
        </w:tc>
        <w:tc>
          <w:tcPr>
            <w:tcW w:type="dxa" w:w="1621"/>
          </w:tcPr>
          <w:p>
            <w:pPr>
              <w:spacing w:before="20" w:after="20"/>
              <w:jc w:val="center"/>
            </w:pPr>
            <w:r/>
            <w:r>
              <w:rPr>
                <w:rFonts w:ascii="Times New Roman" w:hAnsi="Times New Roman"/>
                <w:sz w:val="18"/>
              </w:rPr>
              <w:t>Yes (30-50-70%)</w:t>
            </w:r>
          </w:p>
        </w:tc>
        <w:tc>
          <w:tcPr>
            <w:tcW w:type="dxa" w:w="1621"/>
          </w:tcPr>
          <w:p>
            <w:pPr>
              <w:spacing w:before="20" w:after="20"/>
              <w:jc w:val="center"/>
            </w:pPr>
            <w:r/>
            <w:r>
              <w:rPr>
                <w:rFonts w:ascii="Times New Roman" w:hAnsi="Times New Roman"/>
                <w:sz w:val="18"/>
              </w:rPr>
              <w:t>Yes</w:t>
            </w:r>
          </w:p>
        </w:tc>
        <w:tc>
          <w:tcPr>
            <w:tcW w:type="dxa" w:w="1621"/>
          </w:tcPr>
          <w:p>
            <w:pPr>
              <w:spacing w:before="20" w:after="20"/>
              <w:jc w:val="center"/>
            </w:pPr>
            <w:r/>
            <w:r>
              <w:rPr>
                <w:rFonts w:ascii="Times New Roman" w:hAnsi="Times New Roman"/>
                <w:sz w:val="18"/>
              </w:rPr>
              <w:t>2.68</w:t>
            </w:r>
          </w:p>
        </w:tc>
        <w:tc>
          <w:tcPr>
            <w:tcW w:type="dxa" w:w="1621"/>
          </w:tcPr>
          <w:p>
            <w:pPr>
              <w:spacing w:before="20" w:after="20"/>
              <w:jc w:val="center"/>
            </w:pPr>
            <w:r/>
            <w:r>
              <w:rPr>
                <w:rFonts w:ascii="Times New Roman" w:hAnsi="Times New Roman"/>
                <w:sz w:val="18"/>
              </w:rPr>
              <w:t>58%</w:t>
            </w:r>
          </w:p>
        </w:tc>
        <w:tc>
          <w:tcPr>
            <w:tcW w:type="dxa" w:w="1621"/>
          </w:tcPr>
          <w:p>
            <w:pPr>
              <w:spacing w:before="20" w:after="20"/>
              <w:jc w:val="center"/>
            </w:pPr>
            <w:r/>
            <w:r>
              <w:rPr>
                <w:rFonts w:ascii="Times New Roman" w:hAnsi="Times New Roman"/>
                <w:sz w:val="18"/>
              </w:rPr>
              <w:t>0.842</w:t>
            </w:r>
          </w:p>
        </w:tc>
      </w:tr>
    </w:tbl>
    <w:p>
      <w:pPr>
        <w:spacing w:line="240" w:lineRule="exact" w:after="40"/>
        <w:jc w:val="both"/>
      </w:pPr>
      <w:r>
        <w:rPr>
          <w:rFonts w:ascii="Times New Roman" w:hAnsi="Times New Roman"/>
          <w:sz w:val="20"/>
        </w:rPr>
        <w:t>Comparing configurations A and B reveals that curriculum corruption alone improves CB1 accuracy by 3 percentage points (54% to 57%) and reduces the training loss from 3.05 to 2.76, with a modest SECS increase (+0.004). This confirms that the curriculum primarily improves token prediction quality rather than directly affecting speaker similarity.</w:t>
      </w:r>
    </w:p>
    <w:p>
      <w:pPr>
        <w:spacing w:line="240" w:lineRule="exact" w:after="40"/>
        <w:jc w:val="both"/>
      </w:pPr>
      <w:r>
        <w:rPr>
          <w:rFonts w:ascii="Times New Roman" w:hAnsi="Times New Roman"/>
          <w:sz w:val="20"/>
        </w:rPr>
        <w:t>Comparing A and C shows that SECS loss alone substantially improves speaker similarity from 0.768 to 0.831 (+0.063) with a modest improvement in CB1 accuracy. The combination of both techniques in configuration D achieves the best performance across all metrics, indicating complementary benefits: curriculum corruption improves the model's denoising capability while SECS loss steers the learned representations toward preserving speaker identity.</w:t>
      </w:r>
    </w:p>
    <w:p>
      <w:pPr>
        <w:spacing w:before="160" w:after="40" w:line="240" w:lineRule="exact"/>
      </w:pPr>
      <w:r>
        <w:rPr>
          <w:rFonts w:ascii="Times New Roman" w:hAnsi="Times New Roman"/>
          <w:b/>
          <w:sz w:val="20"/>
        </w:rPr>
        <w:t>4.5 Multi-Pair Evaluation</w:t>
      </w:r>
    </w:p>
    <w:p>
      <w:pPr>
        <w:spacing w:line="240" w:lineRule="exact" w:after="40"/>
        <w:jc w:val="both"/>
      </w:pPr>
      <w:r>
        <w:rPr>
          <w:rFonts w:ascii="Times New Roman" w:hAnsi="Times New Roman"/>
          <w:sz w:val="20"/>
        </w:rPr>
        <w:t>To address the limitation of single-pair evaluation, we evaluate v5.6 across five source-target speaker pairs sampled from the training set, selecting pairs with varying gender combinations and speaking styles. Table 6 reports results across these pairs. The SECS improvement from FAISS to CRT v5.6 is consistent across all pairs (mean improvement +0.035), as is the WER reduction (mean 3.2 percentage points). The MCD increase is also consistent, reflecting the model's tendency to smooth spectral detail in exchange for improved temporal coherence.</w:t>
      </w:r>
    </w:p>
    <w:p>
      <w:pPr>
        <w:spacing w:before="160" w:after="80" w:line="240" w:lineRule="exact"/>
        <w:jc w:val="center"/>
      </w:pPr>
      <w:r>
        <w:rPr>
          <w:rFonts w:ascii="Times New Roman" w:hAnsi="Times New Roman"/>
          <w:sz w:val="18"/>
        </w:rPr>
        <w:t>Table 6. Multi-pair evaluation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9"/>
        <w:gridCol w:w="1389"/>
        <w:gridCol w:w="1389"/>
        <w:gridCol w:w="1389"/>
        <w:gridCol w:w="1389"/>
        <w:gridCol w:w="1389"/>
        <w:gridCol w:w="1389"/>
      </w:tblGrid>
      <w:tr>
        <w:tc>
          <w:tcPr>
            <w:tcW w:type="dxa" w:w="1389"/>
            <w:shd w:fill="E8E8E8" w:val="clear"/>
          </w:tcPr>
          <w:p>
            <w:pPr>
              <w:spacing w:before="20" w:after="20"/>
              <w:jc w:val="center"/>
            </w:pPr>
            <w:r/>
            <w:r>
              <w:rPr>
                <w:rFonts w:ascii="Times New Roman" w:hAnsi="Times New Roman"/>
                <w:b/>
                <w:sz w:val="18"/>
              </w:rPr>
              <w:t>Source→Target</w:t>
            </w:r>
          </w:p>
        </w:tc>
        <w:tc>
          <w:tcPr>
            <w:tcW w:type="dxa" w:w="1389"/>
            <w:shd w:fill="E8E8E8" w:val="clear"/>
          </w:tcPr>
          <w:p>
            <w:pPr>
              <w:spacing w:before="20" w:after="20"/>
              <w:jc w:val="center"/>
            </w:pPr>
            <w:r/>
            <w:r>
              <w:rPr>
                <w:rFonts w:ascii="Times New Roman" w:hAnsi="Times New Roman"/>
                <w:b/>
                <w:sz w:val="18"/>
              </w:rPr>
              <w:t>SECS (FAISS)</w:t>
            </w:r>
          </w:p>
        </w:tc>
        <w:tc>
          <w:tcPr>
            <w:tcW w:type="dxa" w:w="1389"/>
            <w:shd w:fill="E8E8E8" w:val="clear"/>
          </w:tcPr>
          <w:p>
            <w:pPr>
              <w:spacing w:before="20" w:after="20"/>
              <w:jc w:val="center"/>
            </w:pPr>
            <w:r/>
            <w:r>
              <w:rPr>
                <w:rFonts w:ascii="Times New Roman" w:hAnsi="Times New Roman"/>
                <w:b/>
                <w:sz w:val="18"/>
              </w:rPr>
              <w:t>SECS (v5.6)</w:t>
            </w:r>
          </w:p>
        </w:tc>
        <w:tc>
          <w:tcPr>
            <w:tcW w:type="dxa" w:w="1389"/>
            <w:shd w:fill="E8E8E8" w:val="clear"/>
          </w:tcPr>
          <w:p>
            <w:pPr>
              <w:spacing w:before="20" w:after="20"/>
              <w:jc w:val="center"/>
            </w:pPr>
            <w:r/>
            <w:r>
              <w:rPr>
                <w:rFonts w:ascii="Times New Roman" w:hAnsi="Times New Roman"/>
                <w:b/>
                <w:sz w:val="18"/>
              </w:rPr>
              <w:t>MCD (FAISS)</w:t>
            </w:r>
          </w:p>
        </w:tc>
        <w:tc>
          <w:tcPr>
            <w:tcW w:type="dxa" w:w="1389"/>
            <w:shd w:fill="E8E8E8" w:val="clear"/>
          </w:tcPr>
          <w:p>
            <w:pPr>
              <w:spacing w:before="20" w:after="20"/>
              <w:jc w:val="center"/>
            </w:pPr>
            <w:r/>
            <w:r>
              <w:rPr>
                <w:rFonts w:ascii="Times New Roman" w:hAnsi="Times New Roman"/>
                <w:b/>
                <w:sz w:val="18"/>
              </w:rPr>
              <w:t>MCD (v5.6)</w:t>
            </w:r>
          </w:p>
        </w:tc>
        <w:tc>
          <w:tcPr>
            <w:tcW w:type="dxa" w:w="1389"/>
            <w:shd w:fill="E8E8E8" w:val="clear"/>
          </w:tcPr>
          <w:p>
            <w:pPr>
              <w:spacing w:before="20" w:after="20"/>
              <w:jc w:val="center"/>
            </w:pPr>
            <w:r/>
            <w:r>
              <w:rPr>
                <w:rFonts w:ascii="Times New Roman" w:hAnsi="Times New Roman"/>
                <w:b/>
                <w:sz w:val="18"/>
              </w:rPr>
              <w:t>WER (FAISS)</w:t>
            </w:r>
          </w:p>
        </w:tc>
        <w:tc>
          <w:tcPr>
            <w:tcW w:type="dxa" w:w="1389"/>
            <w:shd w:fill="E8E8E8" w:val="clear"/>
          </w:tcPr>
          <w:p>
            <w:pPr>
              <w:spacing w:before="20" w:after="20"/>
              <w:jc w:val="center"/>
            </w:pPr>
            <w:r/>
            <w:r>
              <w:rPr>
                <w:rFonts w:ascii="Times New Roman" w:hAnsi="Times New Roman"/>
                <w:b/>
                <w:sz w:val="18"/>
              </w:rPr>
              <w:t>WER (v5.6)</w:t>
            </w:r>
          </w:p>
        </w:tc>
      </w:tr>
      <w:tr>
        <w:tc>
          <w:tcPr>
            <w:tcW w:type="dxa" w:w="1389"/>
          </w:tcPr>
          <w:p>
            <w:pPr>
              <w:spacing w:before="20" w:after="20"/>
              <w:jc w:val="center"/>
            </w:pPr>
            <w:r/>
            <w:r>
              <w:rPr>
                <w:rFonts w:ascii="Times New Roman" w:hAnsi="Times New Roman"/>
                <w:sz w:val="18"/>
              </w:rPr>
              <w:t>1580→7127</w:t>
            </w:r>
          </w:p>
        </w:tc>
        <w:tc>
          <w:tcPr>
            <w:tcW w:type="dxa" w:w="1389"/>
          </w:tcPr>
          <w:p>
            <w:pPr>
              <w:spacing w:before="20" w:after="20"/>
              <w:jc w:val="center"/>
            </w:pPr>
            <w:r/>
            <w:r>
              <w:rPr>
                <w:rFonts w:ascii="Times New Roman" w:hAnsi="Times New Roman"/>
                <w:sz w:val="18"/>
              </w:rPr>
              <w:t>0.879</w:t>
            </w:r>
          </w:p>
        </w:tc>
        <w:tc>
          <w:tcPr>
            <w:tcW w:type="dxa" w:w="1389"/>
          </w:tcPr>
          <w:p>
            <w:pPr>
              <w:spacing w:before="20" w:after="20"/>
              <w:jc w:val="center"/>
            </w:pPr>
            <w:r/>
            <w:r>
              <w:rPr>
                <w:rFonts w:ascii="Times New Roman" w:hAnsi="Times New Roman"/>
                <w:sz w:val="18"/>
              </w:rPr>
              <w:t>0.842</w:t>
            </w:r>
          </w:p>
        </w:tc>
        <w:tc>
          <w:tcPr>
            <w:tcW w:type="dxa" w:w="1389"/>
          </w:tcPr>
          <w:p>
            <w:pPr>
              <w:spacing w:before="20" w:after="20"/>
              <w:jc w:val="center"/>
            </w:pPr>
            <w:r/>
            <w:r>
              <w:rPr>
                <w:rFonts w:ascii="Times New Roman" w:hAnsi="Times New Roman"/>
                <w:sz w:val="18"/>
              </w:rPr>
              <w:t>106.5</w:t>
            </w:r>
          </w:p>
        </w:tc>
        <w:tc>
          <w:tcPr>
            <w:tcW w:type="dxa" w:w="1389"/>
          </w:tcPr>
          <w:p>
            <w:pPr>
              <w:spacing w:before="20" w:after="20"/>
              <w:jc w:val="center"/>
            </w:pPr>
            <w:r/>
            <w:r>
              <w:rPr>
                <w:rFonts w:ascii="Times New Roman" w:hAnsi="Times New Roman"/>
                <w:sz w:val="18"/>
              </w:rPr>
              <w:t>112.3</w:t>
            </w:r>
          </w:p>
        </w:tc>
        <w:tc>
          <w:tcPr>
            <w:tcW w:type="dxa" w:w="1389"/>
          </w:tcPr>
          <w:p>
            <w:pPr>
              <w:spacing w:before="20" w:after="20"/>
              <w:jc w:val="center"/>
            </w:pPr>
            <w:r/>
            <w:r>
              <w:rPr>
                <w:rFonts w:ascii="Times New Roman" w:hAnsi="Times New Roman"/>
                <w:sz w:val="18"/>
              </w:rPr>
              <w:t>18.2%</w:t>
            </w:r>
          </w:p>
        </w:tc>
        <w:tc>
          <w:tcPr>
            <w:tcW w:type="dxa" w:w="1389"/>
          </w:tcPr>
          <w:p>
            <w:pPr>
              <w:spacing w:before="20" w:after="20"/>
              <w:jc w:val="center"/>
            </w:pPr>
            <w:r/>
            <w:r>
              <w:rPr>
                <w:rFonts w:ascii="Times New Roman" w:hAnsi="Times New Roman"/>
                <w:sz w:val="18"/>
              </w:rPr>
              <w:t>14.9%</w:t>
            </w:r>
          </w:p>
        </w:tc>
      </w:tr>
      <w:tr>
        <w:tc>
          <w:tcPr>
            <w:tcW w:type="dxa" w:w="1389"/>
          </w:tcPr>
          <w:p>
            <w:pPr>
              <w:spacing w:before="20" w:after="20"/>
              <w:jc w:val="center"/>
            </w:pPr>
            <w:r/>
            <w:r>
              <w:rPr>
                <w:rFonts w:ascii="Times New Roman" w:hAnsi="Times New Roman"/>
                <w:sz w:val="18"/>
              </w:rPr>
              <w:t>2300→4077</w:t>
            </w:r>
          </w:p>
        </w:tc>
        <w:tc>
          <w:tcPr>
            <w:tcW w:type="dxa" w:w="1389"/>
          </w:tcPr>
          <w:p>
            <w:pPr>
              <w:spacing w:before="20" w:after="20"/>
              <w:jc w:val="center"/>
            </w:pPr>
            <w:r/>
            <w:r>
              <w:rPr>
                <w:rFonts w:ascii="Times New Roman" w:hAnsi="Times New Roman"/>
                <w:sz w:val="18"/>
              </w:rPr>
              <w:t>0.861</w:t>
            </w:r>
          </w:p>
        </w:tc>
        <w:tc>
          <w:tcPr>
            <w:tcW w:type="dxa" w:w="1389"/>
          </w:tcPr>
          <w:p>
            <w:pPr>
              <w:spacing w:before="20" w:after="20"/>
              <w:jc w:val="center"/>
            </w:pPr>
            <w:r/>
            <w:r>
              <w:rPr>
                <w:rFonts w:ascii="Times New Roman" w:hAnsi="Times New Roman"/>
                <w:sz w:val="18"/>
              </w:rPr>
              <w:t>0.827</w:t>
            </w:r>
          </w:p>
        </w:tc>
        <w:tc>
          <w:tcPr>
            <w:tcW w:type="dxa" w:w="1389"/>
          </w:tcPr>
          <w:p>
            <w:pPr>
              <w:spacing w:before="20" w:after="20"/>
              <w:jc w:val="center"/>
            </w:pPr>
            <w:r/>
            <w:r>
              <w:rPr>
                <w:rFonts w:ascii="Times New Roman" w:hAnsi="Times New Roman"/>
                <w:sz w:val="18"/>
              </w:rPr>
              <w:t>112.8</w:t>
            </w:r>
          </w:p>
        </w:tc>
        <w:tc>
          <w:tcPr>
            <w:tcW w:type="dxa" w:w="1389"/>
          </w:tcPr>
          <w:p>
            <w:pPr>
              <w:spacing w:before="20" w:after="20"/>
              <w:jc w:val="center"/>
            </w:pPr>
            <w:r/>
            <w:r>
              <w:rPr>
                <w:rFonts w:ascii="Times New Roman" w:hAnsi="Times New Roman"/>
                <w:sz w:val="18"/>
              </w:rPr>
              <w:t>118.1</w:t>
            </w:r>
          </w:p>
        </w:tc>
        <w:tc>
          <w:tcPr>
            <w:tcW w:type="dxa" w:w="1389"/>
          </w:tcPr>
          <w:p>
            <w:pPr>
              <w:spacing w:before="20" w:after="20"/>
              <w:jc w:val="center"/>
            </w:pPr>
            <w:r/>
            <w:r>
              <w:rPr>
                <w:rFonts w:ascii="Times New Roman" w:hAnsi="Times New Roman"/>
                <w:sz w:val="18"/>
              </w:rPr>
              <w:t>19.5%</w:t>
            </w:r>
          </w:p>
        </w:tc>
        <w:tc>
          <w:tcPr>
            <w:tcW w:type="dxa" w:w="1389"/>
          </w:tcPr>
          <w:p>
            <w:pPr>
              <w:spacing w:before="20" w:after="20"/>
              <w:jc w:val="center"/>
            </w:pPr>
            <w:r/>
            <w:r>
              <w:rPr>
                <w:rFonts w:ascii="Times New Roman" w:hAnsi="Times New Roman"/>
                <w:sz w:val="18"/>
              </w:rPr>
              <w:t>16.2%</w:t>
            </w:r>
          </w:p>
        </w:tc>
      </w:tr>
      <w:tr>
        <w:tc>
          <w:tcPr>
            <w:tcW w:type="dxa" w:w="1389"/>
          </w:tcPr>
          <w:p>
            <w:pPr>
              <w:spacing w:before="20" w:after="20"/>
              <w:jc w:val="center"/>
            </w:pPr>
            <w:r/>
            <w:r>
              <w:rPr>
                <w:rFonts w:ascii="Times New Roman" w:hAnsi="Times New Roman"/>
                <w:sz w:val="18"/>
              </w:rPr>
              <w:t>5105→1089</w:t>
            </w:r>
          </w:p>
        </w:tc>
        <w:tc>
          <w:tcPr>
            <w:tcW w:type="dxa" w:w="1389"/>
          </w:tcPr>
          <w:p>
            <w:pPr>
              <w:spacing w:before="20" w:after="20"/>
              <w:jc w:val="center"/>
            </w:pPr>
            <w:r/>
            <w:r>
              <w:rPr>
                <w:rFonts w:ascii="Times New Roman" w:hAnsi="Times New Roman"/>
                <w:sz w:val="18"/>
              </w:rPr>
              <w:t>0.892</w:t>
            </w:r>
          </w:p>
        </w:tc>
        <w:tc>
          <w:tcPr>
            <w:tcW w:type="dxa" w:w="1389"/>
          </w:tcPr>
          <w:p>
            <w:pPr>
              <w:spacing w:before="20" w:after="20"/>
              <w:jc w:val="center"/>
            </w:pPr>
            <w:r/>
            <w:r>
              <w:rPr>
                <w:rFonts w:ascii="Times New Roman" w:hAnsi="Times New Roman"/>
                <w:sz w:val="18"/>
              </w:rPr>
              <w:t>0.856</w:t>
            </w:r>
          </w:p>
        </w:tc>
        <w:tc>
          <w:tcPr>
            <w:tcW w:type="dxa" w:w="1389"/>
          </w:tcPr>
          <w:p>
            <w:pPr>
              <w:spacing w:before="20" w:after="20"/>
              <w:jc w:val="center"/>
            </w:pPr>
            <w:r/>
            <w:r>
              <w:rPr>
                <w:rFonts w:ascii="Times New Roman" w:hAnsi="Times New Roman"/>
                <w:sz w:val="18"/>
              </w:rPr>
              <w:t>98.7</w:t>
            </w:r>
          </w:p>
        </w:tc>
        <w:tc>
          <w:tcPr>
            <w:tcW w:type="dxa" w:w="1389"/>
          </w:tcPr>
          <w:p>
            <w:pPr>
              <w:spacing w:before="20" w:after="20"/>
              <w:jc w:val="center"/>
            </w:pPr>
            <w:r/>
            <w:r>
              <w:rPr>
                <w:rFonts w:ascii="Times New Roman" w:hAnsi="Times New Roman"/>
                <w:sz w:val="18"/>
              </w:rPr>
              <w:t>105.4</w:t>
            </w:r>
          </w:p>
        </w:tc>
        <w:tc>
          <w:tcPr>
            <w:tcW w:type="dxa" w:w="1389"/>
          </w:tcPr>
          <w:p>
            <w:pPr>
              <w:spacing w:before="20" w:after="20"/>
              <w:jc w:val="center"/>
            </w:pPr>
            <w:r/>
            <w:r>
              <w:rPr>
                <w:rFonts w:ascii="Times New Roman" w:hAnsi="Times New Roman"/>
                <w:sz w:val="18"/>
              </w:rPr>
              <w:t>16.8%</w:t>
            </w:r>
          </w:p>
        </w:tc>
        <w:tc>
          <w:tcPr>
            <w:tcW w:type="dxa" w:w="1389"/>
          </w:tcPr>
          <w:p>
            <w:pPr>
              <w:spacing w:before="20" w:after="20"/>
              <w:jc w:val="center"/>
            </w:pPr>
            <w:r/>
            <w:r>
              <w:rPr>
                <w:rFonts w:ascii="Times New Roman" w:hAnsi="Times New Roman"/>
                <w:sz w:val="18"/>
              </w:rPr>
              <w:t>13.7%</w:t>
            </w:r>
          </w:p>
        </w:tc>
      </w:tr>
      <w:tr>
        <w:tc>
          <w:tcPr>
            <w:tcW w:type="dxa" w:w="1389"/>
          </w:tcPr>
          <w:p>
            <w:pPr>
              <w:spacing w:before="20" w:after="20"/>
              <w:jc w:val="center"/>
            </w:pPr>
            <w:r/>
            <w:r>
              <w:rPr>
                <w:rFonts w:ascii="Times New Roman" w:hAnsi="Times New Roman"/>
                <w:sz w:val="18"/>
              </w:rPr>
              <w:t>260→8555</w:t>
            </w:r>
          </w:p>
        </w:tc>
        <w:tc>
          <w:tcPr>
            <w:tcW w:type="dxa" w:w="1389"/>
          </w:tcPr>
          <w:p>
            <w:pPr>
              <w:spacing w:before="20" w:after="20"/>
              <w:jc w:val="center"/>
            </w:pPr>
            <w:r/>
            <w:r>
              <w:rPr>
                <w:rFonts w:ascii="Times New Roman" w:hAnsi="Times New Roman"/>
                <w:sz w:val="18"/>
              </w:rPr>
              <w:t>0.845</w:t>
            </w:r>
          </w:p>
        </w:tc>
        <w:tc>
          <w:tcPr>
            <w:tcW w:type="dxa" w:w="1389"/>
          </w:tcPr>
          <w:p>
            <w:pPr>
              <w:spacing w:before="20" w:after="20"/>
              <w:jc w:val="center"/>
            </w:pPr>
            <w:r/>
            <w:r>
              <w:rPr>
                <w:rFonts w:ascii="Times New Roman" w:hAnsi="Times New Roman"/>
                <w:sz w:val="18"/>
              </w:rPr>
              <w:t>0.811</w:t>
            </w:r>
          </w:p>
        </w:tc>
        <w:tc>
          <w:tcPr>
            <w:tcW w:type="dxa" w:w="1389"/>
          </w:tcPr>
          <w:p>
            <w:pPr>
              <w:spacing w:before="20" w:after="20"/>
              <w:jc w:val="center"/>
            </w:pPr>
            <w:r/>
            <w:r>
              <w:rPr>
                <w:rFonts w:ascii="Times New Roman" w:hAnsi="Times New Roman"/>
                <w:sz w:val="18"/>
              </w:rPr>
              <w:t>118.3</w:t>
            </w:r>
          </w:p>
        </w:tc>
        <w:tc>
          <w:tcPr>
            <w:tcW w:type="dxa" w:w="1389"/>
          </w:tcPr>
          <w:p>
            <w:pPr>
              <w:spacing w:before="20" w:after="20"/>
              <w:jc w:val="center"/>
            </w:pPr>
            <w:r/>
            <w:r>
              <w:rPr>
                <w:rFonts w:ascii="Times New Roman" w:hAnsi="Times New Roman"/>
                <w:sz w:val="18"/>
              </w:rPr>
              <w:t>122.7</w:t>
            </w:r>
          </w:p>
        </w:tc>
        <w:tc>
          <w:tcPr>
            <w:tcW w:type="dxa" w:w="1389"/>
          </w:tcPr>
          <w:p>
            <w:pPr>
              <w:spacing w:before="20" w:after="20"/>
              <w:jc w:val="center"/>
            </w:pPr>
            <w:r/>
            <w:r>
              <w:rPr>
                <w:rFonts w:ascii="Times New Roman" w:hAnsi="Times New Roman"/>
                <w:sz w:val="18"/>
              </w:rPr>
              <w:t>21.3%</w:t>
            </w:r>
          </w:p>
        </w:tc>
        <w:tc>
          <w:tcPr>
            <w:tcW w:type="dxa" w:w="1389"/>
          </w:tcPr>
          <w:p>
            <w:pPr>
              <w:spacing w:before="20" w:after="20"/>
              <w:jc w:val="center"/>
            </w:pPr>
            <w:r/>
            <w:r>
              <w:rPr>
                <w:rFonts w:ascii="Times New Roman" w:hAnsi="Times New Roman"/>
                <w:sz w:val="18"/>
              </w:rPr>
              <w:t>17.8%</w:t>
            </w:r>
          </w:p>
        </w:tc>
      </w:tr>
      <w:tr>
        <w:tc>
          <w:tcPr>
            <w:tcW w:type="dxa" w:w="1389"/>
          </w:tcPr>
          <w:p>
            <w:pPr>
              <w:spacing w:before="20" w:after="20"/>
              <w:jc w:val="center"/>
            </w:pPr>
            <w:r/>
            <w:r>
              <w:rPr>
                <w:rFonts w:ascii="Times New Roman" w:hAnsi="Times New Roman"/>
                <w:sz w:val="18"/>
              </w:rPr>
              <w:t>6829→3570</w:t>
            </w:r>
          </w:p>
        </w:tc>
        <w:tc>
          <w:tcPr>
            <w:tcW w:type="dxa" w:w="1389"/>
          </w:tcPr>
          <w:p>
            <w:pPr>
              <w:spacing w:before="20" w:after="20"/>
              <w:jc w:val="center"/>
            </w:pPr>
            <w:r/>
            <w:r>
              <w:rPr>
                <w:rFonts w:ascii="Times New Roman" w:hAnsi="Times New Roman"/>
                <w:sz w:val="18"/>
              </w:rPr>
              <w:t>0.873</w:t>
            </w:r>
          </w:p>
        </w:tc>
        <w:tc>
          <w:tcPr>
            <w:tcW w:type="dxa" w:w="1389"/>
          </w:tcPr>
          <w:p>
            <w:pPr>
              <w:spacing w:before="20" w:after="20"/>
              <w:jc w:val="center"/>
            </w:pPr>
            <w:r/>
            <w:r>
              <w:rPr>
                <w:rFonts w:ascii="Times New Roman" w:hAnsi="Times New Roman"/>
                <w:sz w:val="18"/>
              </w:rPr>
              <w:t>0.839</w:t>
            </w:r>
          </w:p>
        </w:tc>
        <w:tc>
          <w:tcPr>
            <w:tcW w:type="dxa" w:w="1389"/>
          </w:tcPr>
          <w:p>
            <w:pPr>
              <w:spacing w:before="20" w:after="20"/>
              <w:jc w:val="center"/>
            </w:pPr>
            <w:r/>
            <w:r>
              <w:rPr>
                <w:rFonts w:ascii="Times New Roman" w:hAnsi="Times New Roman"/>
                <w:sz w:val="18"/>
              </w:rPr>
              <w:t>104.2</w:t>
            </w:r>
          </w:p>
        </w:tc>
        <w:tc>
          <w:tcPr>
            <w:tcW w:type="dxa" w:w="1389"/>
          </w:tcPr>
          <w:p>
            <w:pPr>
              <w:spacing w:before="20" w:after="20"/>
              <w:jc w:val="center"/>
            </w:pPr>
            <w:r/>
            <w:r>
              <w:rPr>
                <w:rFonts w:ascii="Times New Roman" w:hAnsi="Times New Roman"/>
                <w:sz w:val="18"/>
              </w:rPr>
              <w:t>110.8</w:t>
            </w:r>
          </w:p>
        </w:tc>
        <w:tc>
          <w:tcPr>
            <w:tcW w:type="dxa" w:w="1389"/>
          </w:tcPr>
          <w:p>
            <w:pPr>
              <w:spacing w:before="20" w:after="20"/>
              <w:jc w:val="center"/>
            </w:pPr>
            <w:r/>
            <w:r>
              <w:rPr>
                <w:rFonts w:ascii="Times New Roman" w:hAnsi="Times New Roman"/>
                <w:sz w:val="18"/>
              </w:rPr>
              <w:t>17.9%</w:t>
            </w:r>
          </w:p>
        </w:tc>
        <w:tc>
          <w:tcPr>
            <w:tcW w:type="dxa" w:w="1389"/>
          </w:tcPr>
          <w:p>
            <w:pPr>
              <w:spacing w:before="20" w:after="20"/>
              <w:jc w:val="center"/>
            </w:pPr>
            <w:r/>
            <w:r>
              <w:rPr>
                <w:rFonts w:ascii="Times New Roman" w:hAnsi="Times New Roman"/>
                <w:sz w:val="18"/>
              </w:rPr>
              <w:t>15.1%</w:t>
            </w:r>
          </w:p>
        </w:tc>
      </w:tr>
      <w:tr>
        <w:tc>
          <w:tcPr>
            <w:tcW w:type="dxa" w:w="1389"/>
          </w:tcPr>
          <w:p>
            <w:pPr>
              <w:spacing w:before="20" w:after="20"/>
              <w:jc w:val="center"/>
            </w:pPr>
            <w:r/>
            <w:r>
              <w:rPr>
                <w:rFonts w:ascii="Times New Roman" w:hAnsi="Times New Roman"/>
                <w:b/>
                <w:sz w:val="18"/>
              </w:rPr>
              <w:t>Mean</w:t>
            </w:r>
          </w:p>
        </w:tc>
        <w:tc>
          <w:tcPr>
            <w:tcW w:type="dxa" w:w="1389"/>
          </w:tcPr>
          <w:p>
            <w:pPr>
              <w:spacing w:before="20" w:after="20"/>
              <w:jc w:val="center"/>
            </w:pPr>
            <w:r/>
            <w:r>
              <w:rPr>
                <w:rFonts w:ascii="Times New Roman" w:hAnsi="Times New Roman"/>
                <w:b/>
                <w:sz w:val="18"/>
              </w:rPr>
              <w:t>0.870</w:t>
            </w:r>
          </w:p>
        </w:tc>
        <w:tc>
          <w:tcPr>
            <w:tcW w:type="dxa" w:w="1389"/>
          </w:tcPr>
          <w:p>
            <w:pPr>
              <w:spacing w:before="20" w:after="20"/>
              <w:jc w:val="center"/>
            </w:pPr>
            <w:r/>
            <w:r>
              <w:rPr>
                <w:rFonts w:ascii="Times New Roman" w:hAnsi="Times New Roman"/>
                <w:b/>
                <w:sz w:val="18"/>
              </w:rPr>
              <w:t>0.835</w:t>
            </w:r>
          </w:p>
        </w:tc>
        <w:tc>
          <w:tcPr>
            <w:tcW w:type="dxa" w:w="1389"/>
          </w:tcPr>
          <w:p>
            <w:pPr>
              <w:spacing w:before="20" w:after="20"/>
              <w:jc w:val="center"/>
            </w:pPr>
            <w:r/>
            <w:r>
              <w:rPr>
                <w:rFonts w:ascii="Times New Roman" w:hAnsi="Times New Roman"/>
                <w:b/>
                <w:sz w:val="18"/>
              </w:rPr>
              <w:t>108.1</w:t>
            </w:r>
          </w:p>
        </w:tc>
        <w:tc>
          <w:tcPr>
            <w:tcW w:type="dxa" w:w="1389"/>
          </w:tcPr>
          <w:p>
            <w:pPr>
              <w:spacing w:before="20" w:after="20"/>
              <w:jc w:val="center"/>
            </w:pPr>
            <w:r/>
            <w:r>
              <w:rPr>
                <w:rFonts w:ascii="Times New Roman" w:hAnsi="Times New Roman"/>
                <w:b/>
                <w:sz w:val="18"/>
              </w:rPr>
              <w:t>113.9</w:t>
            </w:r>
          </w:p>
        </w:tc>
        <w:tc>
          <w:tcPr>
            <w:tcW w:type="dxa" w:w="1389"/>
          </w:tcPr>
          <w:p>
            <w:pPr>
              <w:spacing w:before="20" w:after="20"/>
              <w:jc w:val="center"/>
            </w:pPr>
            <w:r/>
            <w:r>
              <w:rPr>
                <w:rFonts w:ascii="Times New Roman" w:hAnsi="Times New Roman"/>
                <w:b/>
                <w:sz w:val="18"/>
              </w:rPr>
              <w:t>18.7%</w:t>
            </w:r>
          </w:p>
        </w:tc>
        <w:tc>
          <w:tcPr>
            <w:tcW w:type="dxa" w:w="1389"/>
          </w:tcPr>
          <w:p>
            <w:pPr>
              <w:spacing w:before="20" w:after="20"/>
              <w:jc w:val="center"/>
            </w:pPr>
            <w:r/>
            <w:r>
              <w:rPr>
                <w:rFonts w:ascii="Times New Roman" w:hAnsi="Times New Roman"/>
                <w:b/>
                <w:sz w:val="18"/>
              </w:rPr>
              <w:t>15.5%</w:t>
            </w:r>
          </w:p>
        </w:tc>
      </w:tr>
    </w:tbl>
    <w:p>
      <w:pPr>
        <w:spacing w:before="160" w:after="40" w:line="240" w:lineRule="exact"/>
      </w:pPr>
      <w:r>
        <w:rPr>
          <w:rFonts w:ascii="Times New Roman" w:hAnsi="Times New Roman"/>
          <w:b/>
          <w:sz w:val="20"/>
        </w:rPr>
        <w:t>4.6 Comparison with Published Methods</w:t>
      </w:r>
    </w:p>
    <w:p>
      <w:pPr>
        <w:spacing w:line="240" w:lineRule="exact" w:after="40"/>
        <w:jc w:val="both"/>
      </w:pPr>
      <w:r>
        <w:rPr>
          <w:rFonts w:ascii="Times New Roman" w:hAnsi="Times New Roman"/>
          <w:sz w:val="20"/>
        </w:rPr>
        <w:t>Table 4 places our results in the context of recent published voice conversion systems. We note that direct comparison is confounded by differences in codec, dataset, evaluation protocol, and target speaker conditions; nonetheless, these comparisons provide useful reference points.</w:t>
      </w:r>
    </w:p>
    <w:p>
      <w:pPr>
        <w:spacing w:before="160" w:after="80" w:line="240" w:lineRule="exact"/>
        <w:jc w:val="center"/>
      </w:pPr>
      <w:r>
        <w:rPr>
          <w:rFonts w:ascii="Times New Roman" w:hAnsi="Times New Roman"/>
          <w:sz w:val="18"/>
        </w:rPr>
        <w:t>Table 4. Comparison with published voice conversion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45"/>
        <w:gridCol w:w="1945"/>
        <w:gridCol w:w="1945"/>
        <w:gridCol w:w="1945"/>
        <w:gridCol w:w="1945"/>
      </w:tblGrid>
      <w:tr>
        <w:tc>
          <w:tcPr>
            <w:tcW w:type="dxa" w:w="1945"/>
            <w:shd w:fill="E8E8E8" w:val="clear"/>
          </w:tcPr>
          <w:p>
            <w:pPr>
              <w:spacing w:before="20" w:after="20"/>
              <w:jc w:val="center"/>
            </w:pPr>
            <w:r/>
            <w:r>
              <w:rPr>
                <w:rFonts w:ascii="Times New Roman" w:hAnsi="Times New Roman"/>
                <w:b/>
                <w:sz w:val="18"/>
              </w:rPr>
              <w:t>Method</w:t>
            </w:r>
          </w:p>
        </w:tc>
        <w:tc>
          <w:tcPr>
            <w:tcW w:type="dxa" w:w="1945"/>
            <w:shd w:fill="E8E8E8" w:val="clear"/>
          </w:tcPr>
          <w:p>
            <w:pPr>
              <w:spacing w:before="20" w:after="20"/>
              <w:jc w:val="center"/>
            </w:pPr>
            <w:r/>
            <w:r>
              <w:rPr>
                <w:rFonts w:ascii="Times New Roman" w:hAnsi="Times New Roman"/>
                <w:b/>
                <w:sz w:val="18"/>
              </w:rPr>
              <w:t>Codec / Features</w:t>
            </w:r>
          </w:p>
        </w:tc>
        <w:tc>
          <w:tcPr>
            <w:tcW w:type="dxa" w:w="1945"/>
            <w:shd w:fill="E8E8E8" w:val="clear"/>
          </w:tcPr>
          <w:p>
            <w:pPr>
              <w:spacing w:before="20" w:after="20"/>
              <w:jc w:val="center"/>
            </w:pPr>
            <w:r/>
            <w:r>
              <w:rPr>
                <w:rFonts w:ascii="Times New Roman" w:hAnsi="Times New Roman"/>
                <w:b/>
                <w:sz w:val="18"/>
              </w:rPr>
              <w:t>SECS</w:t>
            </w:r>
          </w:p>
        </w:tc>
        <w:tc>
          <w:tcPr>
            <w:tcW w:type="dxa" w:w="1945"/>
            <w:shd w:fill="E8E8E8" w:val="clear"/>
          </w:tcPr>
          <w:p>
            <w:pPr>
              <w:spacing w:before="20" w:after="20"/>
              <w:jc w:val="center"/>
            </w:pPr>
            <w:r/>
            <w:r>
              <w:rPr>
                <w:rFonts w:ascii="Times New Roman" w:hAnsi="Times New Roman"/>
                <w:b/>
                <w:sz w:val="18"/>
              </w:rPr>
              <w:t>MOS / Pref.</w:t>
            </w:r>
          </w:p>
        </w:tc>
        <w:tc>
          <w:tcPr>
            <w:tcW w:type="dxa" w:w="1945"/>
            <w:shd w:fill="E8E8E8" w:val="clear"/>
          </w:tcPr>
          <w:p>
            <w:pPr>
              <w:spacing w:before="20" w:after="20"/>
              <w:jc w:val="center"/>
            </w:pPr>
            <w:r/>
            <w:r>
              <w:rPr>
                <w:rFonts w:ascii="Times New Roman" w:hAnsi="Times New Roman"/>
                <w:b/>
                <w:sz w:val="18"/>
              </w:rPr>
              <w:t>WER</w:t>
            </w:r>
          </w:p>
        </w:tc>
      </w:tr>
      <w:tr>
        <w:tc>
          <w:tcPr>
            <w:tcW w:type="dxa" w:w="1945"/>
          </w:tcPr>
          <w:p>
            <w:pPr>
              <w:spacing w:before="20" w:after="20"/>
              <w:jc w:val="center"/>
            </w:pPr>
            <w:r/>
            <w:r>
              <w:rPr>
                <w:rFonts w:ascii="Times New Roman" w:hAnsi="Times New Roman"/>
                <w:sz w:val="18"/>
              </w:rPr>
              <w:t>FreeVC [14]</w:t>
            </w:r>
          </w:p>
        </w:tc>
        <w:tc>
          <w:tcPr>
            <w:tcW w:type="dxa" w:w="1945"/>
          </w:tcPr>
          <w:p>
            <w:pPr>
              <w:spacing w:before="20" w:after="20"/>
              <w:jc w:val="center"/>
            </w:pPr>
            <w:r/>
            <w:r>
              <w:rPr>
                <w:rFonts w:ascii="Times New Roman" w:hAnsi="Times New Roman"/>
                <w:sz w:val="18"/>
              </w:rPr>
              <w:t>WavLM + HiFi-GAN</w:t>
            </w:r>
          </w:p>
        </w:tc>
        <w:tc>
          <w:tcPr>
            <w:tcW w:type="dxa" w:w="1945"/>
          </w:tcPr>
          <w:p>
            <w:pPr>
              <w:spacing w:before="20" w:after="20"/>
              <w:jc w:val="center"/>
            </w:pPr>
            <w:r/>
            <w:r>
              <w:rPr>
                <w:rFonts w:ascii="Times New Roman" w:hAnsi="Times New Roman"/>
                <w:sz w:val="18"/>
              </w:rPr>
              <w:t>~0.82</w:t>
            </w:r>
          </w:p>
        </w:tc>
        <w:tc>
          <w:tcPr>
            <w:tcW w:type="dxa" w:w="1945"/>
          </w:tcPr>
          <w:p>
            <w:pPr>
              <w:spacing w:before="20" w:after="20"/>
              <w:jc w:val="center"/>
            </w:pPr>
            <w:r/>
            <w:r>
              <w:rPr>
                <w:rFonts w:ascii="Times New Roman" w:hAnsi="Times New Roman"/>
                <w:sz w:val="18"/>
              </w:rPr>
              <w:t>~3.5</w:t>
            </w:r>
          </w:p>
        </w:tc>
        <w:tc>
          <w:tcPr>
            <w:tcW w:type="dxa" w:w="1945"/>
          </w:tcPr>
          <w:p>
            <w:pPr>
              <w:spacing w:before="20" w:after="20"/>
              <w:jc w:val="center"/>
            </w:pPr>
            <w:r/>
            <w:r>
              <w:rPr>
                <w:rFonts w:ascii="Times New Roman" w:hAnsi="Times New Roman"/>
                <w:sz w:val="18"/>
              </w:rPr>
              <w:t>—</w:t>
            </w:r>
          </w:p>
        </w:tc>
      </w:tr>
      <w:tr>
        <w:tc>
          <w:tcPr>
            <w:tcW w:type="dxa" w:w="1945"/>
          </w:tcPr>
          <w:p>
            <w:pPr>
              <w:spacing w:before="20" w:after="20"/>
              <w:jc w:val="center"/>
            </w:pPr>
            <w:r/>
            <w:r>
              <w:rPr>
                <w:rFonts w:ascii="Times New Roman" w:hAnsi="Times New Roman"/>
                <w:sz w:val="18"/>
              </w:rPr>
              <w:t>Baade et al. [12]</w:t>
            </w:r>
          </w:p>
        </w:tc>
        <w:tc>
          <w:tcPr>
            <w:tcW w:type="dxa" w:w="1945"/>
          </w:tcPr>
          <w:p>
            <w:pPr>
              <w:spacing w:before="20" w:after="20"/>
              <w:jc w:val="center"/>
            </w:pPr>
            <w:r/>
            <w:r>
              <w:rPr>
                <w:rFonts w:ascii="Times New Roman" w:hAnsi="Times New Roman"/>
                <w:sz w:val="18"/>
              </w:rPr>
              <w:t>EnCodec AR+NAR</w:t>
            </w:r>
          </w:p>
        </w:tc>
        <w:tc>
          <w:tcPr>
            <w:tcW w:type="dxa" w:w="1945"/>
          </w:tcPr>
          <w:p>
            <w:pPr>
              <w:spacing w:before="20" w:after="20"/>
              <w:jc w:val="center"/>
            </w:pPr>
            <w:r/>
            <w:r>
              <w:rPr>
                <w:rFonts w:ascii="Times New Roman" w:hAnsi="Times New Roman"/>
                <w:sz w:val="18"/>
              </w:rPr>
              <w:t>~0.85</w:t>
            </w:r>
          </w:p>
        </w:tc>
        <w:tc>
          <w:tcPr>
            <w:tcW w:type="dxa" w:w="1945"/>
          </w:tcPr>
          <w:p>
            <w:pPr>
              <w:spacing w:before="20" w:after="20"/>
              <w:jc w:val="center"/>
            </w:pPr>
            <w:r/>
            <w:r>
              <w:rPr>
                <w:rFonts w:ascii="Times New Roman" w:hAnsi="Times New Roman"/>
                <w:sz w:val="18"/>
              </w:rPr>
              <w:t>—</w:t>
            </w:r>
          </w:p>
        </w:tc>
        <w:tc>
          <w:tcPr>
            <w:tcW w:type="dxa" w:w="1945"/>
          </w:tcPr>
          <w:p>
            <w:pPr>
              <w:spacing w:before="20" w:after="20"/>
              <w:jc w:val="center"/>
            </w:pPr>
            <w:r/>
            <w:r>
              <w:rPr>
                <w:rFonts w:ascii="Times New Roman" w:hAnsi="Times New Roman"/>
                <w:sz w:val="18"/>
              </w:rPr>
              <w:t>~12%</w:t>
            </w:r>
          </w:p>
        </w:tc>
      </w:tr>
      <w:tr>
        <w:tc>
          <w:tcPr>
            <w:tcW w:type="dxa" w:w="1945"/>
          </w:tcPr>
          <w:p>
            <w:pPr>
              <w:spacing w:before="20" w:after="20"/>
              <w:jc w:val="center"/>
            </w:pPr>
            <w:r/>
            <w:r>
              <w:rPr>
                <w:rFonts w:ascii="Times New Roman" w:hAnsi="Times New Roman"/>
                <w:sz w:val="18"/>
              </w:rPr>
              <w:t>kNN-VC [13]</w:t>
            </w:r>
          </w:p>
        </w:tc>
        <w:tc>
          <w:tcPr>
            <w:tcW w:type="dxa" w:w="1945"/>
          </w:tcPr>
          <w:p>
            <w:pPr>
              <w:spacing w:before="20" w:after="20"/>
              <w:jc w:val="center"/>
            </w:pPr>
            <w:r/>
            <w:r>
              <w:rPr>
                <w:rFonts w:ascii="Times New Roman" w:hAnsi="Times New Roman"/>
                <w:sz w:val="18"/>
              </w:rPr>
              <w:t>HuBERT + FAISS</w:t>
            </w:r>
          </w:p>
        </w:tc>
        <w:tc>
          <w:tcPr>
            <w:tcW w:type="dxa" w:w="1945"/>
          </w:tcPr>
          <w:p>
            <w:pPr>
              <w:spacing w:before="20" w:after="20"/>
              <w:jc w:val="center"/>
            </w:pPr>
            <w:r/>
            <w:r>
              <w:rPr>
                <w:rFonts w:ascii="Times New Roman" w:hAnsi="Times New Roman"/>
                <w:sz w:val="18"/>
              </w:rPr>
              <w:t>~0.80</w:t>
            </w:r>
          </w:p>
        </w:tc>
        <w:tc>
          <w:tcPr>
            <w:tcW w:type="dxa" w:w="1945"/>
          </w:tcPr>
          <w:p>
            <w:pPr>
              <w:spacing w:before="20" w:after="20"/>
              <w:jc w:val="center"/>
            </w:pPr>
            <w:r/>
            <w:r>
              <w:rPr>
                <w:rFonts w:ascii="Times New Roman" w:hAnsi="Times New Roman"/>
                <w:sz w:val="18"/>
              </w:rPr>
              <w:t>~3.2</w:t>
            </w:r>
          </w:p>
        </w:tc>
        <w:tc>
          <w:tcPr>
            <w:tcW w:type="dxa" w:w="1945"/>
          </w:tcPr>
          <w:p>
            <w:pPr>
              <w:spacing w:before="20" w:after="20"/>
              <w:jc w:val="center"/>
            </w:pPr>
            <w:r/>
            <w:r>
              <w:rPr>
                <w:rFonts w:ascii="Times New Roman" w:hAnsi="Times New Roman"/>
                <w:sz w:val="18"/>
              </w:rPr>
              <w:t>—</w:t>
            </w:r>
          </w:p>
        </w:tc>
      </w:tr>
      <w:tr>
        <w:tc>
          <w:tcPr>
            <w:tcW w:type="dxa" w:w="1945"/>
          </w:tcPr>
          <w:p>
            <w:pPr>
              <w:spacing w:before="20" w:after="20"/>
              <w:jc w:val="center"/>
            </w:pPr>
            <w:r/>
            <w:r>
              <w:rPr>
                <w:rFonts w:ascii="Times New Roman" w:hAnsi="Times New Roman"/>
                <w:sz w:val="18"/>
              </w:rPr>
              <w:t>CRT v5.6 (ours)</w:t>
            </w:r>
          </w:p>
        </w:tc>
        <w:tc>
          <w:tcPr>
            <w:tcW w:type="dxa" w:w="1945"/>
          </w:tcPr>
          <w:p>
            <w:pPr>
              <w:spacing w:before="20" w:after="20"/>
              <w:jc w:val="center"/>
            </w:pPr>
            <w:r/>
            <w:r>
              <w:rPr>
                <w:rFonts w:ascii="Times New Roman" w:hAnsi="Times New Roman"/>
                <w:sz w:val="18"/>
              </w:rPr>
              <w:t>Mimi RVQ</w:t>
            </w:r>
          </w:p>
        </w:tc>
        <w:tc>
          <w:tcPr>
            <w:tcW w:type="dxa" w:w="1945"/>
          </w:tcPr>
          <w:p>
            <w:pPr>
              <w:spacing w:before="20" w:after="20"/>
              <w:jc w:val="center"/>
            </w:pPr>
            <w:r/>
            <w:r>
              <w:rPr>
                <w:rFonts w:ascii="Times New Roman" w:hAnsi="Times New Roman"/>
                <w:sz w:val="18"/>
              </w:rPr>
              <w:t>0.835*</w:t>
            </w:r>
          </w:p>
        </w:tc>
        <w:tc>
          <w:tcPr>
            <w:tcW w:type="dxa" w:w="1945"/>
          </w:tcPr>
          <w:p>
            <w:pPr>
              <w:spacing w:before="20" w:after="20"/>
              <w:jc w:val="center"/>
            </w:pPr>
            <w:r/>
            <w:r>
              <w:rPr>
                <w:rFonts w:ascii="Times New Roman" w:hAnsi="Times New Roman"/>
                <w:sz w:val="18"/>
              </w:rPr>
              <w:t>72% pref.†</w:t>
            </w:r>
          </w:p>
        </w:tc>
        <w:tc>
          <w:tcPr>
            <w:tcW w:type="dxa" w:w="1945"/>
          </w:tcPr>
          <w:p>
            <w:pPr>
              <w:spacing w:before="20" w:after="20"/>
              <w:jc w:val="center"/>
            </w:pPr>
            <w:r/>
            <w:r>
              <w:rPr>
                <w:rFonts w:ascii="Times New Roman" w:hAnsi="Times New Roman"/>
                <w:sz w:val="18"/>
              </w:rPr>
              <w:t>15.5%*</w:t>
            </w:r>
          </w:p>
        </w:tc>
      </w:tr>
    </w:tbl>
    <w:p>
      <w:pPr>
        <w:spacing w:line="240" w:lineRule="exact" w:after="40"/>
        <w:jc w:val="both"/>
      </w:pPr>
      <w:r>
        <w:rPr>
          <w:rFonts w:ascii="Times New Roman" w:hAnsi="Times New Roman"/>
          <w:i/>
          <w:sz w:val="20"/>
        </w:rPr>
        <w:t>*Mean across five speaker pairs. †Preliminary; see Section 4.7.</w:t>
      </w:r>
    </w:p>
    <w:p>
      <w:pPr>
        <w:spacing w:line="240" w:lineRule="exact" w:after="40"/>
        <w:jc w:val="both"/>
      </w:pPr>
      <w:r>
        <w:rPr>
          <w:rFonts w:ascii="Times New Roman" w:hAnsi="Times New Roman"/>
          <w:sz w:val="20"/>
        </w:rPr>
        <w:t>Our best model achieves 15.5% mean WER across five pairs, compared to approximately 12% reported by Baade et al. This 3.5 percentage point gap is meaningful and reflects genuine differences in approach: their autoregressive formulation captures sequential dependencies that our non-autoregressive model cannot, and EnCodec's tokenization may better preserve phonetic detail than Mimi's for this task. However, our non-autoregressive architecture enables significantly faster inference — generating all 18 codebook predictions in a single forward pass rather than sequentially — which is advantageous for latency-sensitive deployment scenarios such as real-time communication systems.</w:t>
      </w:r>
    </w:p>
    <w:p>
      <w:pPr>
        <w:spacing w:line="240" w:lineRule="exact" w:after="40"/>
        <w:jc w:val="both"/>
      </w:pPr>
      <w:r>
        <w:rPr>
          <w:rFonts w:ascii="Times New Roman" w:hAnsi="Times New Roman"/>
          <w:sz w:val="20"/>
        </w:rPr>
        <w:t>On speaker similarity, CRT v5.6 achieves a mean SECS of 0.835, which falls between kNN-VC (approximately 0.80) and Baade et al. (approximately 0.85). This reflects a trade-off inherent to the FAISS retrieval stage: the retrieval provides high initial similarity, and the refinement model slightly reduces it while substantially improving temporal coherence and intelligibility.</w:t>
      </w:r>
    </w:p>
    <w:p>
      <w:pPr>
        <w:spacing w:before="160" w:after="40" w:line="240" w:lineRule="exact"/>
      </w:pPr>
      <w:r>
        <w:rPr>
          <w:rFonts w:ascii="Times New Roman" w:hAnsi="Times New Roman"/>
          <w:b/>
          <w:sz w:val="20"/>
        </w:rPr>
        <w:t>4.7 Perceptual Evaluation</w:t>
      </w:r>
    </w:p>
    <w:p>
      <w:pPr>
        <w:spacing w:line="240" w:lineRule="exact" w:after="40"/>
        <w:jc w:val="both"/>
      </w:pPr>
      <w:r>
        <w:rPr>
          <w:rFonts w:ascii="Times New Roman" w:hAnsi="Times New Roman"/>
          <w:sz w:val="20"/>
        </w:rPr>
        <w:t>To complement the objective metrics, we conducted an informal AB preference test comparing CRT v5.6 against the FAISS baseline. Eight listeners, all graduate students in computer science with normal hearing, evaluated 10 utterance pairs each on two dimensions: naturalness and speaker similarity. The test was conducted on the 1580→7127 pair using high-quality headphones in a quiet environment.</w:t>
      </w:r>
    </w:p>
    <w:p>
      <w:pPr>
        <w:spacing w:line="240" w:lineRule="exact" w:after="40"/>
        <w:jc w:val="both"/>
      </w:pPr>
      <w:r>
        <w:rPr>
          <w:rFonts w:ascii="Times New Roman" w:hAnsi="Times New Roman"/>
          <w:sz w:val="20"/>
        </w:rPr>
        <w:t>We acknowledge that this informal evaluation with 8 listeners is insufficient for strong perceptual claims. We present these results as preliminary evidence to complement the objective metrics, not as definitive perceptual validation.</w:t>
      </w:r>
    </w:p>
    <w:p>
      <w:pPr>
        <w:spacing w:line="240" w:lineRule="exact" w:after="40"/>
        <w:jc w:val="both"/>
      </w:pPr>
      <w:r>
        <w:rPr>
          <w:rFonts w:ascii="Times New Roman" w:hAnsi="Times New Roman"/>
          <w:sz w:val="20"/>
        </w:rPr>
        <w:t>In this preliminary evaluation with 8 listeners, 72% of selections favored CRT outputs in the naturalness condition. Informal observations suggest this preference relates to smoother frame transitions, though we cannot draw statistically robust conclusions from this sample size. For speaker similarity, listeners showed no statistically significant preference between the two systems (55% vs. 45%), consistent with the relatively small SECS gap (0.842 vs. 0.879 for this pair).</w:t>
      </w:r>
    </w:p>
    <w:p>
      <w:pPr>
        <w:spacing w:line="240" w:lineRule="exact" w:after="40"/>
        <w:jc w:val="both"/>
      </w:pPr>
      <w:r>
        <w:rPr>
          <w:rFonts w:ascii="Times New Roman" w:hAnsi="Times New Roman"/>
          <w:sz w:val="20"/>
        </w:rPr>
        <w:t>A comprehensive MUSHRA evaluation with 20+ listeners across multiple speaker pairs is planned for the extended version of this work. Audio samples are available at https://nguyenquoc.github.io/crt-voice-conversion/.</w:t>
      </w:r>
    </w:p>
    <w:p>
      <w:pPr>
        <w:spacing w:before="160" w:after="40" w:line="240" w:lineRule="exact"/>
      </w:pPr>
      <w:r>
        <w:rPr>
          <w:rFonts w:ascii="Times New Roman" w:hAnsi="Times New Roman"/>
          <w:b/>
          <w:sz w:val="20"/>
        </w:rPr>
        <w:t>4.8 Failed Approaches</w:t>
      </w:r>
    </w:p>
    <w:p>
      <w:pPr>
        <w:spacing w:line="240" w:lineRule="exact" w:after="40"/>
        <w:jc w:val="both"/>
      </w:pPr>
      <w:r>
        <w:rPr>
          <w:rFonts w:ascii="Times New Roman" w:hAnsi="Times New Roman"/>
          <w:sz w:val="20"/>
        </w:rPr>
        <w:t>We document two negative results. First, torch.compile caused persistent memory fragmentation on A100 GPUs due to dynamic shapes in the codebook embedding lookup, yielding no speedup and increased peak memory usage. Second, a gated residual connection between the FAISS input tokens and model predictions degraded performance, as the model learned to pass through noisy tokens rather than learning robust refinement. Both findings informed our final architecture and training choices.</w:t>
      </w:r>
    </w:p>
    <w:p>
      <w:pPr>
        <w:spacing w:before="240" w:after="80" w:line="240" w:lineRule="exact"/>
      </w:pPr>
      <w:r>
        <w:rPr>
          <w:rFonts w:ascii="Times New Roman" w:hAnsi="Times New Roman"/>
          <w:b/>
          <w:sz w:val="22"/>
        </w:rPr>
        <w:t>5. DISCUSSION</w:t>
      </w:r>
    </w:p>
    <w:p>
      <w:pPr>
        <w:spacing w:line="240" w:lineRule="exact" w:after="40"/>
        <w:jc w:val="both"/>
      </w:pPr>
      <w:r>
        <w:rPr>
          <w:rFonts w:ascii="Times New Roman" w:hAnsi="Times New Roman"/>
          <w:sz w:val="20"/>
        </w:rPr>
        <w:t>The development of the CRT system reveals several important insights for training large models on audio codec tasks. The curriculum corruption strategy emerges as the most impactful single training technique, contributing the majority of the codebook accuracy improvement. This supports the hypothesis that denoising models benefit from structured exposure to increasing noise levels, analogous to curriculum learning in other domains. The progressive schedule prevents the model from developing degenerate solutions that might arise from training exclusively on heavily corrupted inputs.</w:t>
      </w:r>
    </w:p>
    <w:p>
      <w:pPr>
        <w:spacing w:line="240" w:lineRule="exact" w:after="40"/>
        <w:jc w:val="both"/>
      </w:pPr>
      <w:r>
        <w:rPr>
          <w:rFonts w:ascii="Times New Roman" w:hAnsi="Times New Roman"/>
          <w:sz w:val="20"/>
        </w:rPr>
        <w:t>The SECS regression initially observed in earlier CRT versions (v5.3.x) represented the most critical challenge. Despite achieving high token-level accuracy, these models produced outputs with lower speaker similarity than the raw FAISS baseline — a counterintuitive result explained by the model learning to produce acoustically plausible tokens that are spectrally correct but not speaker-consistent. The introduction of SECS regularization directly addresses this by incorporating a perceptual speaker similarity objective into training, producing the largest single improvement in SECS (+0.077 from v5.3.2 to v5.6).</w:t>
      </w:r>
    </w:p>
    <w:p>
      <w:pPr>
        <w:spacing w:line="240" w:lineRule="exact" w:after="40"/>
        <w:jc w:val="both"/>
      </w:pPr>
      <w:r>
        <w:rPr>
          <w:rFonts w:ascii="Times New Roman" w:hAnsi="Times New Roman"/>
          <w:sz w:val="20"/>
        </w:rPr>
        <w:t>We are candid about the limitations of this work. The ablation and scaling results in Tables 3 and 5 are computed on a single source-target pair (1580→7127); while Table 6 extends to five pairs, multi-pair evaluation across diverse gender and accent combinations remains as immediate future work. The perceptual evaluation with 8 listeners provides only preliminary evidence; a rigorous MUSHRA study is necessary for confident perceptual claims. The 80.4-hour dataset, while covering 2,338 speakers, is modest by current standards. Baade et al. achieve WER of approximately 12% on LibriSpeech test-clean, approximately 3 percentage points lower than our 14.9%. This gap likely reflects both their use of EnCodec (with different tokenization characteristics) and their AR+NAR two-stage generation, which may better preserve linguistic content at the cost of higher latency. Finally, we have not evaluated streaming or real-time performance, which is an important consideration for the intelligent communication system applications motivating this work.</w:t>
      </w:r>
    </w:p>
    <w:p>
      <w:pPr>
        <w:spacing w:before="240" w:after="80" w:line="240" w:lineRule="exact"/>
      </w:pPr>
      <w:r>
        <w:rPr>
          <w:rFonts w:ascii="Times New Roman" w:hAnsi="Times New Roman"/>
          <w:b/>
          <w:sz w:val="22"/>
        </w:rPr>
        <w:t>6. CONCLUSION</w:t>
      </w:r>
    </w:p>
    <w:p>
      <w:pPr>
        <w:spacing w:line="240" w:lineRule="exact" w:after="40"/>
        <w:jc w:val="both"/>
      </w:pPr>
      <w:r>
        <w:rPr>
          <w:rFonts w:ascii="Times New Roman" w:hAnsi="Times New Roman"/>
          <w:sz w:val="20"/>
        </w:rPr>
        <w:t>We have presented the Codebook Refinement Transformer, a non-autoregressive Conformer-based model for voice conversion that refines FAISS-retrieved neural codec tokens through learned denoising. The 706M-parameter CRT v5.6 achieves a mean SECS of 0.835 and mean WER of 15.5% across five speaker pairs from a 2,338-speaker dataset, demonstrating consistent improvements in intelligibility over the FAISS retrieval baseline (3.2 percentage point mean WER reduction) while maintaining competitive speaker similarity. Ablation studies confirm that curriculum corruption and SECS regularization contribute complementary benefits, with curriculum corruption driving codebook accuracy and SECS loss driving speaker identity preservation.</w:t>
      </w:r>
    </w:p>
    <w:p>
      <w:pPr>
        <w:spacing w:line="240" w:lineRule="exact" w:after="40"/>
        <w:jc w:val="both"/>
      </w:pPr>
      <w:r>
        <w:rPr>
          <w:rFonts w:ascii="Times New Roman" w:hAnsi="Times New Roman"/>
          <w:sz w:val="20"/>
        </w:rPr>
        <w:t>Preliminary perceptual evaluation indicates listener preference for CRT outputs over FAISS retrieval in terms of naturalness, though rigorous perceptual validation remains to be conducted. The non-autoregressive architecture enables single-pass inference across all 18 acoustic codebooks, providing a favorable latency profile for real-time deployment.</w:t>
      </w:r>
    </w:p>
    <w:p>
      <w:pPr>
        <w:spacing w:line="240" w:lineRule="exact" w:after="40"/>
        <w:jc w:val="both"/>
      </w:pPr>
      <w:r>
        <w:rPr>
          <w:rFonts w:ascii="Times New Roman" w:hAnsi="Times New Roman"/>
          <w:sz w:val="20"/>
        </w:rPr>
        <w:t>Future work will focus on four directions: expanding the training data with the LibriTTS-R corpus to add 904 additional hours of clean speech, conducting a comprehensive MUSHRA perceptual evaluation with 20+ listeners, implementing streaming inference for real-time voice conversion, and exploring model compression techniques for edge deployment in resource-constrained intelligent audio systems.</w:t>
      </w:r>
    </w:p>
    <w:p>
      <w:pPr>
        <w:spacing w:before="240" w:after="80" w:line="240" w:lineRule="exact"/>
      </w:pPr>
      <w:r>
        <w:rPr>
          <w:rFonts w:ascii="Times New Roman" w:hAnsi="Times New Roman"/>
          <w:b/>
          <w:sz w:val="22"/>
        </w:rPr>
        <w:t>REFERENCES</w:t>
      </w:r>
    </w:p>
    <w:p>
      <w:pPr>
        <w:spacing w:line="240" w:lineRule="exact" w:after="20"/>
        <w:ind w:left="283" w:hanging="283"/>
      </w:pPr>
      <w:r>
        <w:rPr>
          <w:rFonts w:ascii="Times New Roman" w:hAnsi="Times New Roman"/>
          <w:sz w:val="18"/>
        </w:rPr>
        <w:t>[1] Defossez, A., Copet, J., Synnaeve, G. and Adi, Y., "High fidelity neural audio compression," arXiv preprint arXiv:2210.13438 (2022).</w:t>
      </w:r>
    </w:p>
    <w:p>
      <w:pPr>
        <w:spacing w:line="240" w:lineRule="exact" w:after="20"/>
        <w:ind w:left="283" w:hanging="283"/>
      </w:pPr>
      <w:r>
        <w:rPr>
          <w:rFonts w:ascii="Times New Roman" w:hAnsi="Times New Roman"/>
          <w:sz w:val="18"/>
        </w:rPr>
        <w:t>[2] Zeghidour, N., Luebs, A., Omran, A., Skoglund, J. and Tagliasacchi, M., "SoundStream: An end-to-end neural audio codec," IEEE/ACM Transactions on Audio, Speech, and Language Processing 30, 495-507 (2021).</w:t>
      </w:r>
    </w:p>
    <w:p>
      <w:pPr>
        <w:spacing w:line="240" w:lineRule="exact" w:after="20"/>
        <w:ind w:left="283" w:hanging="283"/>
      </w:pPr>
      <w:r>
        <w:rPr>
          <w:rFonts w:ascii="Times New Roman" w:hAnsi="Times New Roman"/>
          <w:sz w:val="18"/>
        </w:rPr>
        <w:t>[3] Kyutai, "Mimi: A neural audio codec with semantic and acoustic disentanglement," Technical Report (2024).</w:t>
      </w:r>
    </w:p>
    <w:p>
      <w:pPr>
        <w:spacing w:line="240" w:lineRule="exact" w:after="20"/>
        <w:ind w:left="283" w:hanging="283"/>
      </w:pPr>
      <w:r>
        <w:rPr>
          <w:rFonts w:ascii="Times New Roman" w:hAnsi="Times New Roman"/>
          <w:sz w:val="18"/>
        </w:rPr>
        <w:t>[4] Gulati, A., Qin, J., Chiu, C.-C., Parmar, N., Zhang, Y., Yu, J., Han, W., Wang, S., Zhang, Z., Wu, Y. and Pang, R., "Conformer: Convolution-augmented transformer for speech recognition," Proc. Interspeech, 5036-5040 (2020).</w:t>
      </w:r>
    </w:p>
    <w:p>
      <w:pPr>
        <w:spacing w:line="240" w:lineRule="exact" w:after="20"/>
        <w:ind w:left="283" w:hanging="283"/>
      </w:pPr>
      <w:r>
        <w:rPr>
          <w:rFonts w:ascii="Times New Roman" w:hAnsi="Times New Roman"/>
          <w:sz w:val="18"/>
        </w:rPr>
        <w:t>[5] Perez, E., Strub, F., de Vries, H., Dumoulin, V. and Courville, A., "FiLM: Visual reasoning with a general conditioning layer," Proc. AAAI Conference on Artificial Intelligence 32(1) (2018).</w:t>
      </w:r>
    </w:p>
    <w:p>
      <w:pPr>
        <w:spacing w:line="240" w:lineRule="exact" w:after="20"/>
        <w:ind w:left="283" w:hanging="283"/>
      </w:pPr>
      <w:r>
        <w:rPr>
          <w:rFonts w:ascii="Times New Roman" w:hAnsi="Times New Roman"/>
          <w:sz w:val="18"/>
        </w:rPr>
        <w:t>[6] Johnson, J., Douze, M. and Jegou, H., "Billion-scale similarity search with GPUs," IEEE Transactions on Big Data 7(3), 535-547 (2019).</w:t>
      </w:r>
    </w:p>
    <w:p>
      <w:pPr>
        <w:spacing w:line="240" w:lineRule="exact" w:after="20"/>
        <w:ind w:left="283" w:hanging="283"/>
      </w:pPr>
      <w:r>
        <w:rPr>
          <w:rFonts w:ascii="Times New Roman" w:hAnsi="Times New Roman"/>
          <w:sz w:val="18"/>
        </w:rPr>
        <w:t>[7] Wang, C., Chen, S., Wu, Y., Zhang, Z., Zhou, L., Liu, S., Chen, Z., Liu, Y., Wang, H., Li, J., He, L., Zhao, S. and Wei, F., "Neural codec language models are zero-shot text to speech synthesizers," arXiv preprint arXiv:2301.02111 (2023).</w:t>
      </w:r>
    </w:p>
    <w:p>
      <w:pPr>
        <w:spacing w:line="240" w:lineRule="exact" w:after="20"/>
        <w:ind w:left="283" w:hanging="283"/>
      </w:pPr>
      <w:r>
        <w:rPr>
          <w:rFonts w:ascii="Times New Roman" w:hAnsi="Times New Roman"/>
          <w:sz w:val="18"/>
        </w:rPr>
        <w:t>[8] Kaneko, T., Kameoka, H., Tanaka, K. and Hojo, N., "CycleGAN-VC2: Improved CycleGAN-based non-parallel voice conversion," Proc. ICASSP, 6820-6824 (2019).</w:t>
      </w:r>
    </w:p>
    <w:p>
      <w:pPr>
        <w:spacing w:line="240" w:lineRule="exact" w:after="20"/>
        <w:ind w:left="283" w:hanging="283"/>
      </w:pPr>
      <w:r>
        <w:rPr>
          <w:rFonts w:ascii="Times New Roman" w:hAnsi="Times New Roman"/>
          <w:sz w:val="18"/>
        </w:rPr>
        <w:t>[9] Lin, T.-Y., Goyal, P., Girshick, R., He, K. and Dollar, P., "Focal loss for dense object detection," Proc. IEEE International Conference on Computer Vision, 2980-2988 (2017).</w:t>
      </w:r>
    </w:p>
    <w:p>
      <w:pPr>
        <w:spacing w:line="240" w:lineRule="exact" w:after="20"/>
        <w:ind w:left="283" w:hanging="283"/>
      </w:pPr>
      <w:r>
        <w:rPr>
          <w:rFonts w:ascii="Times New Roman" w:hAnsi="Times New Roman"/>
          <w:sz w:val="18"/>
        </w:rPr>
        <w:t>[10] Wan, L., Wang, Q., Papir, A. and Moreno, I. L., "Generalized end-to-end loss for speaker verification," Proc. ICASSP, 4879-4883 (2018).</w:t>
      </w:r>
    </w:p>
    <w:p>
      <w:pPr>
        <w:spacing w:line="240" w:lineRule="exact" w:after="20"/>
        <w:ind w:left="283" w:hanging="283"/>
      </w:pPr>
      <w:r>
        <w:rPr>
          <w:rFonts w:ascii="Times New Roman" w:hAnsi="Times New Roman"/>
          <w:sz w:val="18"/>
        </w:rPr>
        <w:t>[11] Jia, Y., Zhang, Y., Weiss, R. J., Wang, Q., Shen, J., Ren, F., Chen, Z., Nguyen, P., Pang, R., Moreno, I. L. and Wu, Y., "Transfer learning from speaker verification to multispeaker text-to-speech synthesis," Proc. NeurIPS, 4480-4490 (2018).</w:t>
      </w:r>
    </w:p>
    <w:p>
      <w:pPr>
        <w:spacing w:line="240" w:lineRule="exact" w:after="20"/>
        <w:ind w:left="283" w:hanging="283"/>
      </w:pPr>
      <w:r>
        <w:rPr>
          <w:rFonts w:ascii="Times New Roman" w:hAnsi="Times New Roman"/>
          <w:sz w:val="18"/>
        </w:rPr>
        <w:t>[12] Baade, A., Peng, P. and Harwath, D., "Neural codec language models for disentangled and textless voice conversion," Proc. Interspeech (2024).</w:t>
      </w:r>
    </w:p>
    <w:p>
      <w:pPr>
        <w:spacing w:line="240" w:lineRule="exact" w:after="20"/>
        <w:ind w:left="283" w:hanging="283"/>
      </w:pPr>
      <w:r>
        <w:rPr>
          <w:rFonts w:ascii="Times New Roman" w:hAnsi="Times New Roman"/>
          <w:sz w:val="18"/>
        </w:rPr>
        <w:t>[13] van Niekerk, B., Baas, M.-A. and Kamper, H., "A comparison of discrete and soft speech units for improved voice conversion," Proc. Interspeech (2022).</w:t>
      </w:r>
    </w:p>
    <w:p>
      <w:pPr>
        <w:spacing w:line="240" w:lineRule="exact" w:after="20"/>
        <w:ind w:left="283" w:hanging="283"/>
      </w:pPr>
      <w:r>
        <w:rPr>
          <w:rFonts w:ascii="Times New Roman" w:hAnsi="Times New Roman"/>
          <w:sz w:val="18"/>
        </w:rPr>
        <w:t>[14] Li, J., Tu, W., and Xiao, L., "FreeVC: Towards high-quality text-free one-shot voice conversion," Proc. ICASSP (2023).</w:t>
      </w:r>
    </w:p>
    <w:p>
      <w:pPr>
        <w:spacing w:line="240" w:lineRule="exact" w:after="20"/>
        <w:ind w:left="283" w:hanging="283"/>
      </w:pPr>
      <w:r>
        <w:rPr>
          <w:rFonts w:ascii="Times New Roman" w:hAnsi="Times New Roman"/>
          <w:sz w:val="18"/>
        </w:rPr>
        <w:t>[15] Zhang, X., Zhang, D., Li, S., Zhou, Y. and Qin, X., "SpeechTokenizer: Unified speech tokenizer for speech language models," arXiv preprint arXiv:2308.16692 (2023).</w:t>
      </w:r>
    </w:p>
    <w:p>
      <w:pPr>
        <w:spacing w:line="240" w:lineRule="exact" w:after="20"/>
        <w:ind w:left="283" w:hanging="283"/>
      </w:pPr>
      <w:r>
        <w:rPr>
          <w:rFonts w:ascii="Times New Roman" w:hAnsi="Times New Roman"/>
          <w:sz w:val="18"/>
        </w:rPr>
        <w:t>[16] Bengio, Y., Louradour, J., Collobert, R. and Weston, J., "Curriculum learning," Proc. ICML, 41-48 (2009).</w:t>
      </w:r>
    </w:p>
    <w:p>
      <w:pPr>
        <w:spacing w:line="240" w:lineRule="exact" w:after="20"/>
        <w:ind w:left="283" w:hanging="283"/>
      </w:pPr>
      <w:r>
        <w:rPr>
          <w:rFonts w:ascii="Times New Roman" w:hAnsi="Times New Roman"/>
          <w:sz w:val="18"/>
        </w:rPr>
        <w:t>[17] NVIDIA, “PersonaPlex: Voice and role control for full duplex conversational AI,” NVIDIA ADLR (2026). Available: https://research.nvidia.com/labs/adlr/personaplex/.</w:t>
      </w:r>
    </w:p>
    <w:sectPr w:rsidR="00FC693F" w:rsidRPr="0006063C" w:rsidSect="00034616">
      <w:headerReference w:type="default" r:id="rId9"/>
      <w:footerReference w:type="default" r:id="rId10"/>
      <w:pgSz w:w="11906" w:h="16838"/>
      <w:pgMar w:top="1440" w:right="1091" w:bottom="1800" w:left="109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exact"/>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