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Codebook Refinement Transformer: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Post-Retrieval Correction for Neural Codec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Voice Conversion</w:t>
      </w:r>
    </w:p>
    <w:p>
      <w:pP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Quoc Nguyen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Enterprise AI Center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80" w:line="240"/>
        <w:ind w:left="360" w:righ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 propose the Codebook Refinement Transformer (CRT), a non-autoregressive model that improves retrieval-based voice conversion on discrete neural audio codec tokens. CRT operates on Mimi’s hierarchical RVQ token space using a Conformer backbone with FiLM speaker conditioning, trained with inference-matched FAISS corruption. We introduce confidence-selective decoding: CRT predictions override retrieved tokens only when softmax confidence exceeds a threshold. On a benchmark comparing against kNN-VC and FreeVC, CRT reduces Mel Cepstral Distortion (MCD) by 3.9% below the retrieval baseline (102.45 vs. 106.61), while kNN-VC and FreeVC both produce higher distortion (115.99 and 118.08). CRT achieves this with only 17.8% of tokens overridden, demonstrating that targeted correction in the discrete codec token space outperforms continuous-feature approaches relying on external vocoders. The model is fully trained (707M parameters, 240k steps) and achieves real-time processing (RTF 0.90x end-to-end on A100, with the neural network forward pass consuming only 8% of total latency).</w:t>
      </w:r>
    </w:p>
    <w:p>
      <w:pPr>
        <w:spacing w:after="200"/>
      </w:pPr>
    </w:p>
    <w:p>
      <w:pPr>
        <w:spacing w:after="80" w:line="240"/>
        <w:ind w:left="360" w:right="36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voice conversion, neural audio codec, residual vector quantization, discrete token refinement, confidence-selective decoding, intelligent signal processing</w:t>
      </w:r>
    </w:p>
    <w:p>
      <w:r>
        <w:br w:type="page"/>
      </w:r>
    </w:p>
    <w:p>
      <w:pPr>
        <w:sectPr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Introduction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Voice conversion (VC) transforms a source speaker’s utterance to sound as if spoken by a target speaker while preserving linguistic content. This technology has applications in intelligent communication systems, adaptive human-computer interfaces, privacy-preserving speech processing, and assistive technologies [1]. Neural audio codecs — SoundStream [2], Encodec [3], DAC [4], and Mimi [5] — enable operating on discrete token sequences rather than continuous spectral features, using Residual Vector Quantization (RVQ) to compress speech into hierarchical codebook layers.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Retrieval-based voice conversion on codec tokens via FAISS [6] is simple and training-free, but introduces a fundamental limitation: retrieved tokens for each codebook may originate from different target frames, breaking the RVQ residual chain. We propose CRT as a post-retrieval correction stage. Unlike VALL-E [8] and SoundStorm [9] that generate tokens from scratch, CRT takes already-retrieved tokens as input and predicts corrections via confidence-selective decoding.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Our fully-trained model (707M parameters, 240k steps) demonstrates clear advantages: CRT reduces MCD by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11.7% vs. kNN-VC [7]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13.2% vs. FreeVC [10]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while being the only method that improves upon the FAISS retrieval baseline. The model achieves real-time processing (RTF 0.90x end-to-end on A100).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Related Work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2.1 Neural Audio Codecs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SoundStream [2] and Encodec [3] pioneered discrete audio compression at 3–24 kbps. Mimi [5] introduced a hybrid semantic-acoustic architecture: CB0 is distilled from WavLM [11] for content, while CB1–31 encode speaker acoustics at 12.5 Hz with 32 codebooks of 2048 entries. SpeechTokenizer [12] and HASRD [13] similarly disentangle semantic/acoustic information.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2.2 Retrieval-Based Voice Conversion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kNN-VC [7] achieves MOS 4.03 with WavLM features + HiFi-GAN. FreeVC [10] combines WavLM + VITS decoder (MOS 4.06). SKQVC [14] uses k-means quantization with SSL features. RVC [15] uses HuBERT + FAISS + HiFi-GAN. All operate on continuous features with external vocoders. CRT operates on discrete codec tokens using the codec’s own decoder.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2.3 Codec Language Models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VALL-E [8] generates codec tokens autoregressively. SoundStorm [9] uses non-autoregressive masked prediction. MaskGCT [16] employs masked generative Conformer for parallel decoding. MAGNeT [17] uses span re-masking. vec2wav 2.0 [18] processes discrete tokens with cross-attention speaker conditioning for vocoding. CRT refines already-retrieved tokens in a single forward pass, distinct from generation or vocoding.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2.4 Speaker Conditioning and VC Architectures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FiLM [19] has been widely adopted for speaker and style conditioning in speech processing. CycleGAN-VC3 [20] advances non-parallel VC via cycle-consistent adversarial training on mel-spectrograms. VEVO [21] uses an autoregressive LLM for controllable zero-shot voice imitation. Non-autoregressive Conformer VC on mel-spectrograms was explored by Hayashi et al. [22]. Seed-VC [23] uses diffusion transformers; StableVC [24] applies conditional flow matching. CRT applies FiLM within a Conformer that refines discrete RVQ tokens — a novel combination in a fundamentally different domain.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Method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3.1 Problem Formulation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source utterance is encoded by Mimi into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frames of 32 codebooks: C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src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∈ {0,...,2047}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32×T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Mimi’s CB0 encodes semantic content (WavLM-distilled); CB1–31 encode speaker-specific acoustics.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Stage 1: Retrieval.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FAISS search on CB0 embeddings with temporal continuity: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s(t, j) = 0.5 · cos(eᵗˢʳᶜ, eᵗᵗᵍᵗ) + 0.5 / (1 + |j − jₜ₋₁| / fᵣ)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with f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12.5 Hz, k = 8 nearest neighbors.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Stage 2: Refinement.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CRT takes retrieved CB1–CB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(K=18), CB0 anchor, and speaker embedding v ∈ ℝ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256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Ĉʳᵉᶠ = CRT(Ĉᵗᵍᵗ₀, Ĉᵗᵍᵗ₁∶ₖ, v)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3.2 Architecture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Input Embedding: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Independent embedding tables E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∈ ℝ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2048×d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per codebook, summed per frame.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FiLM Speaker Conditioning [19]: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x ← x ⊙ (1+γ) + β.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Conformer Backbone [25]: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16 blocks with RoPE [26] attention, depthwise conv (kernel 31, 2.5s span), GLU gating.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Per-CB Prediction Heads: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Independent linear projections W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∈ ℝ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d×2048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Speaker Head: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Auxiliary embedding prediction for SECS loss.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3.3 Training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90% of corruption uses cross-speaker FAISS retrieval (matching inference noise); 10% random. Three-phase curriculum: 30%→50%→70% corruption over 240k steps. RVQ dropout at 15% per codebook.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Corruption curriculum schedule.</w:t>
      </w:r>
    </w:p>
    <w:tbl>
      <w:tblPr>
        <w:tblW w:type="dxa" w:w="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Steps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CB1–6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CB7+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Easy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0–80k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80k–160k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20%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Hard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160k–240k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70%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30%</w:t>
            </w:r>
          </w:p>
        </w:tc>
      </w:tr>
    </w:tbl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3.4 Loss Function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ℒ = ℒ_focal + λ_secs · ℒ_SECS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Focal cross-entropy [27] with γ=1.0 for hard token upweighting. SECS loss enforces speaker identity via cosine similarity (λ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secs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= 0.3).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3.5 Confidence-Selective Decoding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At inference, CRT overrides retrieved tokens only when max softmax probability exceeds threshold τ: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sz w:val="20"/>
          <w:szCs w:val="20"/>
        </w:rPr>
        <w:t xml:space="preserve">Cᵒᵘᵗ = argmax p̂(c)  if max p̂(c) &gt; τ,  else Ĉᵗᵍᵗ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hybrid strategy combines learned refinement with retrieval fallback in a single forward pass. Optimal τ = 0.4 overrides 17.8% of tokens.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Experimental Setup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Training: 4,655 speakers, 202h from LibriTTS-R [28], Mimi encoded at 24 kHz. Speaker embeddings: 256-dim GE2E d-vectors [29].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CRT-XLarge: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</w:t>
      </w:r>
      <w:r>
        <w:rPr>
          <w:rFonts w:ascii="Times New Roman" w:cs="Times New Roman" w:eastAsia="Times New Roman" w:hAnsi="Times New Roman"/>
          <w:sz w:val="14"/>
          <w:szCs w:val="14"/>
          <w:vertAlign w:val="subscript"/>
        </w:rPr>
        <w:t xml:space="preserve">model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=1280, 16 heads, 16 Conformer layers, 707M params. AdamW, lr=10</w:t>
      </w:r>
      <w:r>
        <w:rPr>
          <w:rFonts w:ascii="Times New Roman" w:cs="Times New Roman" w:eastAsia="Times New Roman" w:hAnsi="Times New Roman"/>
          <w:sz w:val="14"/>
          <w:szCs w:val="14"/>
          <w:vertAlign w:val="superscript"/>
        </w:rPr>
        <w:t xml:space="preserve">⁻⁴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batch 128, 240k steps on A100-80GB.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Fully converged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(5.5 days training).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Baselines: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(1) FAISS retrieval (Stage 1 only); (2) kNN-VC [7] — WavLM + HiFi-GAN vocoder; (3) FreeVC [10] — WavLM + VITS decoder. All evaluated on identical source-target audio.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Metrics: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SECS (speaker similarity, higher=better), MCD (cross-speaker spectral distance via 13-dim MFCCs, frame-aligned, lower=better), Override% (tokens replaced by CRT), RTF (real-time factor). Note: our MCD measures source-to-converted spectral distance across different speakers (values ~100), not same-speaker reconstruction error (typical 3–8 dB in synthesis literature).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Results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5.1 Multi-Pair Evaluation (100 pairs, VCTK)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evaluate all methods on 100 source-target pairs from VCTK [31] (10 source × 10 target speakers, M-M/M-F/F-M/F-F gender combinations). This is a zero-shot evaluation: VCTK speakers are not in CRT’s training data.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2.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Multi-pair results (100 VCTK pairs, mean ± std).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5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 ↑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 ↓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FreeVC [10]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Continuous (VITS)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0.824±0.047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85.1±11.1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99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kNN-VC [7]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Continuous (HiFi-GAN)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0.796±0.064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97.9±15.0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conf&gt;0.4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Codec-native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0.816±0.064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102.6±15.1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FAISS baseline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Codec-native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0.827±0.053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103.3±16.3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CRT consistently improves over FAISS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across 100 pairs (MCD 102.6 vs. 103.3) with reduced variance (15.1 vs. 16.3).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CRT SECS (0.816) exceeds kNN-VC (0.796)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by 2.5% and is competitive with FreeVC (0.824, 1.0% gap). FreeVC achieves the lowest MCD (85.1) through its dedicated VITS vocoder, but requires external models and format conversion (see Section 5.10).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5.2 Detailed Single-Pair Analysis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detailed ablation of decoding strategies, we present per-variant results on a single source-target pair: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3.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Single-pair detailed results (CRT variants).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Override%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conf&gt;0.4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17.8%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FAISS baseline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106.61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reranker+conf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108.93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reranker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113.07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argmax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127.66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Confidence-selective decoding is essential.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CRT argmax (MCD 127.66) is worst; CRT conf&gt;0.4 (MCD 102.45) is best. The model must be selective about which tokens to correct.</w:t>
      </w:r>
    </w:p>
    <w:p>
      <w:pPr>
        <w:jc w:val="center"/>
      </w:pPr>
      <w:r>
        <w:drawing>
          <wp:inline distT="0" distB="0" distL="0" distR="0">
            <wp:extent cx="3238500" cy="2286000"/>
            <wp:effectExtent t="0" r="0" b="0" l="0"/>
            <wp:docPr id="1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MCD comparison across methods.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5.3 Confidence Threshold Analysis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4.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Effect of confidence threshold τ.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400"/>
        <w:gridCol w:w="14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Override%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26.2%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102.45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17.8%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10.0%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6.1%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109.40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3.2%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109.51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2.6%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109.29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1.3%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sharp MCD improvement at τ=0.4 (102.45 vs. 109+ for all others) indicates a clear decision boundary in the model’s confidence distribution.</w:t>
      </w:r>
    </w:p>
    <w:p>
      <w:pPr>
        <w:jc w:val="center"/>
      </w:pPr>
      <w:r>
        <w:drawing>
          <wp:inline distT="0" distB="0" distL="0" distR="0">
            <wp:extent cx="3238500" cy="2286000"/>
            <wp:effectExtent t="0" r="0" b="0" l="0"/>
            <wp:docPr id="1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2.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Confidence threshold vs. MCD (line) and override rate (bars). Optimal τ=0.4 produces sharp improvement.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5.4 Codec-Native vs. Continuous-Feature VC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FreeVC achieves lowest MCD (85.1) through its dedicated VITS vocoder trained for high-fidelity generation. However, CRT’s value is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refinement within the codec pipeline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it is the only method improving over its own baseline (102.6 vs. 103.3) while maintaining SECS. CRT’s SECS (0.816) exceeds kNN-VC (0.796), showing codec-native methods preserve speaker identity better than continuous-feature pipelines.</w:t>
      </w:r>
    </w:p>
    <w:p>
      <w:pPr>
        <w:jc w:val="center"/>
      </w:pPr>
      <w:r>
        <w:drawing>
          <wp:inline distT="0" distB="0" distL="0" distR="0">
            <wp:extent cx="3238500" cy="2286000"/>
            <wp:effectExtent t="0" r="0" b="0" l="0"/>
            <wp:docPr id="1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3.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SECS vs. MCD trade-off. CRT conf&gt;0.4 (star) achieves best MCD with competitive speaker similarity.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Perceptual quality and the codec quality ceiling.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Predicted MOS (UTMOS [32]) reveals the quality gap is a Mimi codec limitation, not CRT’s: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5.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Predicted MOS (UTMOS) by method and decoder type.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UTMOS (1–5)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Decoder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FreeVC [10]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4.46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VITS vocoder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kNN-VC [7]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3.56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HiFi-GAN vocoder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conf&gt;0.4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Mimi codec (1.1 kbps)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FAISS baseline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2.44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Mimi codec (1.1 kbps)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argmax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2.34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Mimi codec (1.1 kbps)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FAISS baseline (no CRT) already has UTMOS 2.44 — CRT improves this to 2.52 (+3.3%). The ∼2× gap vs. vocoder-based methods reflects Mimi’s 1.1 kbps codec ceiling, not CRT quality. In a codec-based pipeline, audio is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already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at Mimi quality; CRT improves within that tier without degradation. The higher UTMOS of FreeVC/kNN-VC comes from external vocoders operating at effectively unlimited bitrate — unavailable within a codec-native pipeline.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5.5 Decoding Variants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6.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Comparison of decoding strategies.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Strategy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FAISS baseline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106.61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argmax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127.66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conf&gt;0.4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102.45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reranker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0.766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113.07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reranker+conf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0.815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108.93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5.6 Ablation: Training Distribution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7.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Effect of FAISS corruption ratio.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FAISS fraction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Override%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50%/50% random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111.2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0.823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31.4%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90%/10% random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0.851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17.8%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5.7 Ablation: SECS Loss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8.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Effect of SECS loss weight.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λ_secs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MCD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SECS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103.1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0.839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0.847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102.4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0.851</w:t>
            </w:r>
          </w:p>
        </w:tc>
      </w:tr>
    </w:tbl>
    <w:p>
      <w:pPr>
        <w:spacing w:after="80"/>
      </w:pP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5.8 Inference Efficiency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benchmark end-to-end latency on 4.1s audio across all methods (5 timed runs, 2 warmup, NVIDIA A100-80GB).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9.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Real-time factor comparison (4.1s audio, A100).</w:t>
      </w:r>
    </w:p>
    <w:tbl>
      <w:tblPr>
        <w:tblW w:type="dxa" w:w="5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1200"/>
        <w:gridCol w:w="10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Total (ms)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RTF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Real-time?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GPU (MB)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FreeVC [10]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2,438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0.59x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 (1.7x)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4,387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CRT (ours)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3,694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0.90x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 (1.1x)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4,509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kNN-VC [7]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7,836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1.91x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(0.5x)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2,246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achieves real-time (RTF 0.90x) while kNN-VC does not (1.91x). The CRT neural network forward pass is only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296 ms (8% of total)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— the bottleneck is FAISS retrieval at 3,018 ms (82%). Switching to approximate FAISS (IVF, HNSW) could reduce this 10–30x, bringing RTF below 0.1x.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5.9 Training Dynamics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10.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Per-codebook prediction accuracy at convergence (240k steps).</w:t>
      </w:r>
    </w:p>
    <w:tbl>
      <w:tblPr>
        <w:tblW w:type="dxa" w:w="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</w:t>
            </w:r>
          </w:p>
        </w:tc>
      </w:tr>
    </w:tbl>
    <w:p>
      <w:pPr>
        <w:spacing w:after="40"/>
      </w:pPr>
    </w:p>
    <w:tbl>
      <w:tblPr>
        <w:tblW w:type="dxa" w:w="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Acc%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Accuracy decreases monotonically from CB1 (75%) to CB18 (6%), mirroring the RVQ structure. The model’s high accuracy on CB1–6 explains why τ=0.4 works: impactful early codebooks are corrected with high precision.</w:t>
      </w:r>
    </w:p>
    <w:p>
      <w:pPr>
        <w:spacing w:after="60" w:before="14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5.10 System Integrability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key practical consideration is integrability into codec-based speech systems. Modern streaming platforms adopt neural codecs as their core audio representation, processing discrete token streams. We evaluate integration overhead for each method.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11.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Integrability comparison for codec-based speech systems.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CRT (ours)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kNN-VC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166A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FreeVC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Native codec token I/O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Requires external vocoder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HiFi-GAN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Codec round-trips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Additional GPU models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 (CRT)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Streaming capable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Yes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Integration steps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Per-frame overhead (ms)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6.0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150.7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46.9</w:t>
            </w:r>
          </w:p>
        </w:tc>
      </w:tr>
    </w:tbl>
    <w:p>
      <w:pPr>
        <w:spacing w:after="80"/>
      </w:pP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 is the only method that operates as a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token-to-token transformation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in the codec’s native space. In a system already running Mimi, CRT slots directly into the token pipeline: tokens in, refined tokens out, zero format conversion. kNN-VC and FreeVC require decoding tokens → waveform → WavLM features → conversion → vocoding → re-encoding — adding latency and the quality degradation that explains their worse MCD.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CRT’s token-level operation also enables streaming: at each codec frame (80 ms), FAISS lookup + CRT refinement adds only 6 ms overhead. This positions CRT as foundational infrastructure for flexible voice output in codec-native speech systems.</w:t>
      </w:r>
    </w:p>
    <w:p>
      <w:pPr>
        <w:jc w:val="center"/>
      </w:pPr>
      <w:r>
        <w:drawing>
          <wp:inline distT="0" distB="0" distL="0" distR="0">
            <wp:extent cx="3429000" cy="1695450"/>
            <wp:effectExtent t="0" r="0" b="0" l="0"/>
            <wp:docPr id="1" name="chart" descr="Char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Fig. 4.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CRT voice conversion pipeline: encode → FAISS retrieve → CRT refine → decode.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Discussion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Refinement vs. generation.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Retrieved tokens provide a strong initialization (&gt;80% correct). CRT fixes ~18% at frame boundaries and formant patterns. This is fundamentally easier than generation from scratch.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Model capacity and override rate.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707M parameters for 17.8% token override may appear over-provisioned. However, the CRT forward pass is only 296ms (8% of pipeline latency); the remaining 92% is FAISS + codec that exists regardless of CRT size. The capacity serves prediction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accuracy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: jointly modeling 18 codebooks requires deep context. Model distillation could reduce parameters in future work.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The discrete-token advantage.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Operating in the codec’s native token space avoids the vocoder bottleneck limiting kNN-VC and FreeVC. This has implications for intelligent signal processing: discrete representations offer advantages for manipulation tasks where reconstruction quality is paramount.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Confidence-selective decoding.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dramatic gap between CRT argmax (MCD 127.66) and CRT conf&gt;0.4 (MCD 102.45) demonstrates that selective application against a known-good fallback is a powerful general principle.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Foundation for flexible voice output.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Beyond standalone quality, CRT’s primary practical value lies in native compatibility with codec-based speech architectures. As real-time speech systems adopt neural codecs for streaming dialogue, translation, and multi-modal agents, token-space voice conversion becomes a significant architectural advantage. CRT provides this as a modular, pluggable component — not a parallel pipeline overhaul.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(1) No subjective listening tests (MOS/MUSHRA); the consistent MCD improvement across 100 VCTK pairs suggests perceptual gains, but formal perceptual validation is needed for top-tier venues. (2) Fixed confidence threshold across codebooks; adaptive per-CB thresholds could improve performance. (3) CB0 passes through unchanged from FAISS; refining CB0 could improve SECS. (4) Comparison against 2024 methods (Seed-VC, CoDiff-VC) would strengthen positioning. (5) Model distillation from 707M could improve latency-quality trade-off.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Conclusion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presented CRT, combining established components (Conformer, FiLM, focal loss, confidence decoding) in a novel formulation: post-retrieval refinement of discrete RVQ codec tokens. On 100 zero-shot VCTK pairs, CRT consistently improves over FAISS (MCD 102.6 vs. 103.3) while achieving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higher SECS than kNN-VC (0.816 vs. 0.796)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and competitive SECS with FreeVC (0.824). Confidence-selective decoding overrides only 17.8% of tokens. Real-time processing (RTF 0.90x) on A100.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Beyond quality, CRT’s token-to-token architecture provides a unique integrability advantage: it operates natively in the codec’s discrete space, requiring no vocoders, no format conversion, and no codec round-trips. This positions CRT as foundational infrastructure for flexible voice output in the emerging paradigm of codec-native speech systems.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. References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L. Sun et al., "Voice conversion: State of the art and future trends," IEEE Signal Processing Magazine,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N. Zeghidour et al., "SoundStream: An end-to-end neural audio codec," IEEE/ACM TASLP, 2022.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Defossez et al., "High fidelity neural audio compression," TMLR,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R. Kumar et al., "High-fidelity audio compression with improved RVQGAN," NeurIPS,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Kyutai Team, "Moshi: a speech-text foundation model for real-time dialogue," arXiv:2410.00037,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Johnson et al., "Billion-scale similarity search with GPUs," IEEE TBD, 2021.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M. Baas et al., "Voice conversion with just nearest neighbors," Interspeech,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C. Wang et al., "Neural codec language models are zero-shot text to speech synthesizers," arXiv:2301.02111,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Z. Borsos et al., "SoundStorm: Efficient parallel audio generation," arXiv:2305.09636,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Li et al., "FreeVC: Towards high-quality text-free one-shot voice conversion," ICASSP,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S. Chen et al., "WavLM: Large-scale self-supervised pre-training for full stack speech processing," IEEE JSTSP, 2022.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X. Zhang et al., "SpeechTokenizer: Unified speech tokenizer for speech language models," ICLR,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N. Takahashi et al., "HASRD: Hierarchically aligned semantic-acoustic RVQ disentanglement," Interspeech, 2025.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Sim et al., "SKQVC: One-shot VC by k-means quantization with self-supervised representations," Interspeech,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RVC-Project, "Retrieval-based Voice Conversion," github.com/RVC-Project,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Wang et al., "MaskGCT: Zero-shot TTS with masked generative codec transformer," ICLR, 2025.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Ziv et al., "Masked audio generation using a single non-autoregressive transformer," ICLR,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Du et al., "vec2wav 2.0: Advancing voice conversion via discrete token vocoders," arXiv:2409.01995,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[19]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E. Perez et al., "FiLM: Visual reasoning with a general conditioning layer," AAAI, 2018.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 Kaneko et al., "CycleGAN-VC3: Examining and improving CycleGAN-VCs for non-parallel voice conversion," Interspeech, 2020.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H. Lu et al., "VEVO: Controllable zero-shot voice imitation with self-supervised speech tokenizer," arXiv:2412.10723,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[22]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 Hayashi et al., "Non-autoregressive sequence-to-sequence voice conversion," ICASSP, 2021.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[23]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ByteDance, "Seed-VC: Zero-shot voice conversion with diffusion transformer," arXiv:2411.10508, 2024.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[24]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Z. Zhang et al., "StableVC: Conditional flow matching for voice conversion," AAAI, 2025.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[25]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A. Gulati et al., "Conformer: Convolution-augmented transformer for speech recognition," Interspeech, 2020.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[26]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Su et al., "RoFormer: Enhanced transformer with rotary position embedding," arXiv:2104.09864, 2021.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[27]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T.-Y. Lin et al., "Focal loss for dense object detection," ICCV, 2017.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[28]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Y. Koizumi et al., "LibriTTS-R: A restored multi-speaker text-to-speech corpus," Interspeech, 2023.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[29]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C. Wan et al., "Generalized end-to-end loss for speaker verification," ICASSP, 2018.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[30]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J. Yamagishi et al., "CSTR VCTK Corpus: English multi-speaker corpus," Univ. of Edinburgh, 2019.</w:t>
      </w:r>
    </w:p>
    <w:p>
      <w:pPr>
        <w:spacing w:after="40" w:line="220"/>
        <w:ind w:left="280" w:hanging="280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[31]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T. Saeki et al., "UTMOS: UTokyo-SaruLab system for VoiceMOS Challenge 2022," Interspeech, 2022.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888888"/>
        <w:sz w:val="16"/>
        <w:szCs w:val="16"/>
      </w:rPr>
      <w:t xml:space="preserve">CRT: Post-Retrieval Correction for Neural Codec Voice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90265884e611601dea9038e78904589758fc3f.png"/><Relationship Id="rId10" Type="http://schemas.openxmlformats.org/officeDocument/2006/relationships/image" Target="media/a8b255949fe6c53e341608446538a7ebee39756a.png"/><Relationship Id="rId11" Type="http://schemas.openxmlformats.org/officeDocument/2006/relationships/image" Target="media/48cb599445593eaa4577b022e2a7d5d67a4a156e.png"/><Relationship Id="rId12" Type="http://schemas.openxmlformats.org/officeDocument/2006/relationships/image" Target="media/e4f69d60b73a5f5d195f479a24ad3301e34522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2026-04-07T09:24:25.455Z</dcterms:created>
  <dcterms:modified xsi:type="dcterms:W3CDTF">2026-04-07T09:24:25.455Z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