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spacing w:before="0" w:after="120"/>
      </w:pPr>
      <w:r>
        <w:rPr>
          <w:rFonts w:ascii="Times New Roman" w:hAnsi="Times New Roman" w:eastAsia="Times New Roman"/>
          <w:b/>
          <w:i w:val="0"/>
          <w:sz w:val="32"/>
        </w:rPr>
        <w:t>Voice Conversion via Codebook Refinement Transformer</w:t>
        <w:br/>
        <w:t>with Curriculum Corruption and Speaker Similarity Regularization</w:t>
      </w:r>
    </w:p>
    <w:p>
      <w:pPr>
        <w:jc w:val="center"/>
        <w:spacing w:before="0" w:after="60"/>
      </w:pPr>
      <w:r>
        <w:rPr>
          <w:rFonts w:ascii="Times New Roman" w:hAnsi="Times New Roman" w:eastAsia="Times New Roman"/>
          <w:b w:val="0"/>
          <w:i w:val="0"/>
          <w:sz w:val="24"/>
        </w:rPr>
        <w:t>Nguyen Quoc</w:t>
      </w:r>
    </w:p>
    <w:p>
      <w:pPr>
        <w:jc w:val="center"/>
        <w:spacing w:before="0" w:after="120"/>
      </w:pPr>
      <w:r>
        <w:rPr>
          <w:rFonts w:ascii="Times New Roman" w:hAnsi="Times New Roman" w:eastAsia="Times New Roman"/>
          <w:b w:val="0"/>
          <w:i/>
          <w:sz w:val="20"/>
        </w:rPr>
        <w:t>University of Information Technology, Vietnam National University Ho Chi Minh City, Vietnam</w:t>
      </w:r>
    </w:p>
    <w:p>
      <w:pPr>
        <w:jc w:val="left"/>
        <w:spacing w:before="200" w:after="80"/>
      </w:pPr>
      <w:r>
        <w:rPr>
          <w:rFonts w:ascii="Times New Roman" w:hAnsi="Times New Roman" w:eastAsia="Times New Roman"/>
          <w:b/>
          <w:i w:val="0"/>
          <w:sz w:val="22"/>
        </w:rPr>
        <w:t>Abstract</w:t>
      </w:r>
    </w:p>
    <w:p>
      <w:pPr>
        <w:jc w:val="both"/>
        <w:spacing w:before="0" w:after="60" w:line="152400" w:lineRule="exact"/>
      </w:pPr>
      <w:r>
        <w:rPr>
          <w:rFonts w:ascii="Times New Roman" w:hAnsi="Times New Roman" w:eastAsia="Times New Roman"/>
          <w:b w:val="0"/>
          <w:i w:val="0"/>
          <w:sz w:val="20"/>
        </w:rPr>
        <w:t>We present the Codebook Refinement Transformer (CRT), a non-autoregressive model for voice conversion that operates in the discrete token space of the Mimi neural audio codec. Given a source utterance, FAISS nearest-neighbor retrieval produces an initial set of target-speaker codebook tokens, which the CRT then refines using a Conformer architecture with FiLM-based speaker conditioning. A central contribution is a curriculum corruption training strategy that progressively increases the proportion of corrupted input tokens across three phases, bridging the distribution gap between clean training data and noisy retrieval outputs seen at inference. We further introduce a speaker encoder cosine similarity (SECS) regularization term that directly optimizes for speaker identity preservation during training. Experiments on a 2,338-speaker dataset show that the 706M-parameter CRT achieves 58% first-codebook accuracy, a SECS of 0.842 (closing 64% of the gap to the FAISS retrieval baseline of 0.879), and a word error rate of 14.9% compared to 18.2% for raw FAISS output. An informal perceptual evaluation with eight listeners indicates that CRT-converted speech is preferred 72% of the time over the FAISS baseline for naturalness, while the baseline retains an advantage in raw speaker similarity. Ablation experiments isolate the individual contributions of curriculum corruption and SECS loss, demonstrating that both components provide complementary improvements. The non-autoregressive architecture enables efficient inference suitable for intelligent audio processing applications such as voice anonymization in IoT communication devices and assistive speech technology.</w:t>
      </w:r>
    </w:p>
    <w:p>
      <w:pPr>
        <w:jc w:val="both"/>
        <w:spacing w:before="0" w:after="60" w:line="152400" w:lineRule="exact"/>
      </w:pPr>
      <w:r>
        <w:rPr>
          <w:rFonts w:ascii="Times New Roman" w:hAnsi="Times New Roman" w:eastAsia="Times New Roman"/>
          <w:b/>
          <w:i w:val="0"/>
          <w:sz w:val="20"/>
        </w:rPr>
        <w:t xml:space="preserve">Keywords: </w:t>
      </w:r>
      <w:r>
        <w:rPr>
          <w:rFonts w:ascii="Times New Roman" w:hAnsi="Times New Roman" w:eastAsia="Times New Roman"/>
          <w:b w:val="0"/>
          <w:i w:val="0"/>
          <w:sz w:val="20"/>
        </w:rPr>
        <w:t>voice conversion, neural audio codec, codebook refinement, conformer, curriculum learning, speaker similarity, FAISS retrieval, intelligent audio processing</w:t>
      </w:r>
    </w:p>
    <w:p>
      <w:pPr>
        <w:jc w:val="left"/>
        <w:spacing w:before="200" w:after="80"/>
      </w:pPr>
      <w:r>
        <w:rPr>
          <w:rFonts w:ascii="Times New Roman" w:hAnsi="Times New Roman" w:eastAsia="Times New Roman"/>
          <w:b/>
          <w:i w:val="0"/>
          <w:sz w:val="22"/>
        </w:rPr>
        <w:t>1. INTRODUCTION</w:t>
      </w:r>
    </w:p>
    <w:p>
      <w:pPr>
        <w:jc w:val="both"/>
        <w:spacing w:before="0" w:after="60" w:line="152400" w:lineRule="exact"/>
      </w:pPr>
      <w:r>
        <w:rPr>
          <w:rFonts w:ascii="Times New Roman" w:hAnsi="Times New Roman" w:eastAsia="Times New Roman"/>
          <w:b w:val="0"/>
          <w:i w:val="0"/>
          <w:sz w:val="20"/>
        </w:rPr>
        <w:t>Intelligent audio processing is increasingly central to modern communication systems, from smart home assistants to IoT sensor networks that must handle voice data with considerations for privacy, identity, and naturalness. Voice conversion (VC), the task of transforming a speech utterance to sound as though spoken by a different target speaker while preserving linguistic content, represents a key enabling technology in this space. Applications include voice anonymization for privacy-preserving communication in connected devices, assistive speech systems for users with speech impairments, and personalized audio interfaces in IoT environments.</w:t>
      </w:r>
    </w:p>
    <w:p>
      <w:pPr>
        <w:jc w:val="both"/>
        <w:spacing w:before="0" w:after="60" w:line="152400" w:lineRule="exact"/>
      </w:pPr>
      <w:r>
        <w:rPr>
          <w:rFonts w:ascii="Times New Roman" w:hAnsi="Times New Roman" w:eastAsia="Times New Roman"/>
          <w:b w:val="0"/>
          <w:i w:val="0"/>
          <w:sz w:val="20"/>
        </w:rPr>
        <w:t>Traditional VC approaches based on spectral envelope manipulation or CycleGAN-based mappings [8] operate on continuous representations and require either parallel data or adversarial training. Neural audio codecs such as EnCodec [1], SoundStream [2], and Mimi [3] compress waveforms into sequences of discrete tokens via residual vector quantization (RVQ), enabling VC to be reframed as token-level sequence transduction. This discrete representation provides a compact latent space where speaker identity and linguistic content are partially disentangled across codebook layers.</w:t>
      </w:r>
    </w:p>
    <w:p>
      <w:pPr>
        <w:jc w:val="both"/>
        <w:spacing w:before="0" w:after="60" w:line="152400" w:lineRule="exact"/>
      </w:pPr>
      <w:r>
        <w:rPr>
          <w:rFonts w:ascii="Times New Roman" w:hAnsi="Times New Roman" w:eastAsia="Times New Roman"/>
          <w:b w:val="0"/>
          <w:i w:val="0"/>
          <w:sz w:val="20"/>
        </w:rPr>
        <w:t>Several recent works have explored codec-based VC. Baade et al. [12] propose a codec language model that disentangles speaker and content for textless conversion. The kNN-VC system [13] uses FAISS retrieval over self-supervised features for any-to-any conversion. FreeVC [14] achieves text-free one-shot VC via speaker-independent bottleneck features. Our work differs by focusing on post-retrieval refinement: we treat FAISS-retrieved tokens as a noisy initialization and train a dedicated model to denoise them.</w:t>
      </w:r>
    </w:p>
    <w:p>
      <w:pPr>
        <w:jc w:val="both"/>
        <w:spacing w:before="0" w:after="60" w:line="152400" w:lineRule="exact"/>
      </w:pPr>
      <w:r>
        <w:rPr>
          <w:rFonts w:ascii="Times New Roman" w:hAnsi="Times New Roman" w:eastAsia="Times New Roman"/>
          <w:b w:val="0"/>
          <w:i w:val="0"/>
          <w:sz w:val="20"/>
        </w:rPr>
        <w:t>Direct replacement of source codebook tokens with FAISS [6] nearest neighbors achieves reasonable speaker similarity but introduces temporal discontinuities that degrade naturalness. We propose the Codebook Refinement Transformer (CRT), a non-autoregressive Conformer-based [4] architecture with FiLM [5] speaker conditioning, which refines retrieved tokens for smoother output.</w:t>
      </w:r>
    </w:p>
    <w:p>
      <w:pPr>
        <w:jc w:val="both"/>
        <w:spacing w:before="0" w:after="60" w:line="152400" w:lineRule="exact"/>
      </w:pPr>
      <w:r>
        <w:rPr>
          <w:rFonts w:ascii="Times New Roman" w:hAnsi="Times New Roman" w:eastAsia="Times New Roman"/>
          <w:b w:val="0"/>
          <w:i w:val="0"/>
          <w:sz w:val="20"/>
        </w:rPr>
        <w:t>Our contributions are threefold. First, we introduce a non-autoregressive Conformer architecture with FiLM-based speaker conditioning for codebook token refinement. Second, we propose a curriculum corruption training strategy that progressively increases input corruption from 30% to 70%, bridging the gap between clean training inputs and noisy inference-time retrieval outputs. Third, we incorporate a SECS regularization loss that directly optimizes speaker identity preservation, recovering 64% of the speaker similarity gap relative to the FAISS baseline. The non-autoregressive design enables efficient single-pass inference, making the approach suitable for deployment on edge devices in intelligent communication systems.</w:t>
      </w:r>
    </w:p>
    <w:p>
      <w:pPr>
        <w:jc w:val="left"/>
        <w:spacing w:before="200" w:after="80"/>
      </w:pPr>
      <w:r>
        <w:rPr>
          <w:rFonts w:ascii="Times New Roman" w:hAnsi="Times New Roman" w:eastAsia="Times New Roman"/>
          <w:b/>
          <w:i w:val="0"/>
          <w:sz w:val="22"/>
        </w:rPr>
        <w:t>2. RELATED WORK</w:t>
      </w:r>
    </w:p>
    <w:p>
      <w:pPr>
        <w:jc w:val="left"/>
        <w:spacing w:before="120" w:after="60"/>
      </w:pPr>
      <w:r>
        <w:rPr>
          <w:rFonts w:ascii="Times New Roman" w:hAnsi="Times New Roman" w:eastAsia="Times New Roman"/>
          <w:b/>
          <w:i w:val="0"/>
          <w:sz w:val="20"/>
        </w:rPr>
        <w:t>2.1 Neural Audio Codecs</w:t>
      </w:r>
    </w:p>
    <w:p>
      <w:pPr>
        <w:jc w:val="both"/>
        <w:spacing w:before="0" w:after="60" w:line="152400" w:lineRule="exact"/>
      </w:pPr>
      <w:r>
        <w:rPr>
          <w:rFonts w:ascii="Times New Roman" w:hAnsi="Times New Roman" w:eastAsia="Times New Roman"/>
          <w:b w:val="0"/>
          <w:i w:val="0"/>
          <w:sz w:val="20"/>
        </w:rPr>
        <w:t>Neural audio codecs compress waveforms into discrete token sequences using learned encoder-decoder architectures with residual vector quantization. SoundStream [2] introduced end-to-end neural audio compression with multi-scale discriminator training. EnCodec [1] extended this framework with improved training objectives and demonstrated high-fidelity compression at low bitrates. The Mimi codec [3] further advances this line by disentangling semantic and acoustic information across codebook layers: the first codebook (CB0) captures primarily linguistic content, while subsequent codebooks encode fine-grained acoustic details including speaker characteristics. SpeechTokenizer [15] provides a unified tokenization framework that separates semantic and paralinguistic information across RVQ layers in a similar hierarchical fashion. These structured representations make neural codecs particularly well-suited for voice conversion, as speaker-dependent information is concentrated in specific codebook layers that can be selectively modified.</w:t>
      </w:r>
    </w:p>
    <w:p>
      <w:pPr>
        <w:jc w:val="left"/>
        <w:spacing w:before="120" w:after="60"/>
      </w:pPr>
      <w:r>
        <w:rPr>
          <w:rFonts w:ascii="Times New Roman" w:hAnsi="Times New Roman" w:eastAsia="Times New Roman"/>
          <w:b/>
          <w:i w:val="0"/>
          <w:sz w:val="20"/>
        </w:rPr>
        <w:t>2.2 Codec-Based Voice Conversion</w:t>
      </w:r>
    </w:p>
    <w:p>
      <w:pPr>
        <w:jc w:val="both"/>
        <w:spacing w:before="0" w:after="60" w:line="152400" w:lineRule="exact"/>
      </w:pPr>
      <w:r>
        <w:rPr>
          <w:rFonts w:ascii="Times New Roman" w:hAnsi="Times New Roman" w:eastAsia="Times New Roman"/>
          <w:b w:val="0"/>
          <w:i w:val="0"/>
          <w:sz w:val="20"/>
        </w:rPr>
        <w:t>The discrete token space of neural codecs has enabled several novel VC approaches. Baade et al. [12] combine autoregressive semantic prediction with non-autoregressive acoustic generation for disentangled textless conversion. The kNN-VC system [13] pioneered FAISS-based retrieval over self-supervised speech units, showing that simple retrieval can achieve competitive quality. FreeVC [14] extracts speaker-independent bottleneck features for text-free one-shot conversion. VALL-E [7] and related codec language models demonstrated autoregressive modeling of discrete token sequences for speech synthesis. Our CRT performs non-autoregressive refinement of retrieval outputs, combining FAISS speaker matching with learned temporal smoothing.</w:t>
      </w:r>
    </w:p>
    <w:p>
      <w:pPr>
        <w:jc w:val="left"/>
        <w:spacing w:before="120" w:after="60"/>
      </w:pPr>
      <w:r>
        <w:rPr>
          <w:rFonts w:ascii="Times New Roman" w:hAnsi="Times New Roman" w:eastAsia="Times New Roman"/>
          <w:b/>
          <w:i w:val="0"/>
          <w:sz w:val="20"/>
        </w:rPr>
        <w:t>2.3 Conformer and Speaker Conditioning</w:t>
      </w:r>
    </w:p>
    <w:p>
      <w:pPr>
        <w:jc w:val="both"/>
        <w:spacing w:before="0" w:after="60" w:line="152400" w:lineRule="exact"/>
      </w:pPr>
      <w:r>
        <w:rPr>
          <w:rFonts w:ascii="Times New Roman" w:hAnsi="Times New Roman" w:eastAsia="Times New Roman"/>
          <w:b w:val="0"/>
          <w:i w:val="0"/>
          <w:sz w:val="20"/>
        </w:rPr>
        <w:t>The Conformer [4] combines self-attention for global context with convolution for local feature extraction in a macaron-style block, making it well-suited for sequence refinement. For speaker conditioning, we adopt FiLM [5], which applies learned affine transformations to intermediate features, providing a lightweight method for injecting speaker identity into every layer.</w:t>
      </w:r>
    </w:p>
    <w:p>
      <w:pPr>
        <w:jc w:val="left"/>
        <w:spacing w:before="120" w:after="60"/>
      </w:pPr>
      <w:r>
        <w:rPr>
          <w:rFonts w:ascii="Times New Roman" w:hAnsi="Times New Roman" w:eastAsia="Times New Roman"/>
          <w:b/>
          <w:i w:val="0"/>
          <w:sz w:val="20"/>
        </w:rPr>
        <w:t>2.4 Curriculum Learning in Speech</w:t>
      </w:r>
    </w:p>
    <w:p>
      <w:pPr>
        <w:jc w:val="both"/>
        <w:spacing w:before="0" w:after="60" w:line="152400" w:lineRule="exact"/>
      </w:pPr>
      <w:r>
        <w:rPr>
          <w:rFonts w:ascii="Times New Roman" w:hAnsi="Times New Roman" w:eastAsia="Times New Roman"/>
          <w:b w:val="0"/>
          <w:i w:val="0"/>
          <w:sz w:val="20"/>
        </w:rPr>
        <w:t>Curriculum learning [16] organizes training examples from easy to hard, allowing models to build robust representations progressively. In speech processing, curriculum strategies have been applied to ASR training with increasing noise levels and to TTS systems with progressive sequence length. Noise scheduling in diffusion models follows a similar principle of gradually increasing corruption. Our curriculum corruption strategy applies this concept to the token denoising task: by progressively increasing the fraction of corrupted codebook tokens during training, the model first masters basic reconstruction before confronting the more challenging distributions encountered during FAISS-based inference.</w:t>
      </w:r>
    </w:p>
    <w:p>
      <w:pPr>
        <w:jc w:val="left"/>
        <w:spacing w:before="200" w:after="80"/>
      </w:pPr>
      <w:r>
        <w:rPr>
          <w:rFonts w:ascii="Times New Roman" w:hAnsi="Times New Roman" w:eastAsia="Times New Roman"/>
          <w:b/>
          <w:i w:val="0"/>
          <w:sz w:val="22"/>
        </w:rPr>
        <w:t>3. METHOD</w:t>
      </w:r>
    </w:p>
    <w:p>
      <w:pPr>
        <w:jc w:val="left"/>
        <w:spacing w:before="120" w:after="60"/>
      </w:pPr>
      <w:r>
        <w:rPr>
          <w:rFonts w:ascii="Times New Roman" w:hAnsi="Times New Roman" w:eastAsia="Times New Roman"/>
          <w:b/>
          <w:i w:val="0"/>
          <w:sz w:val="20"/>
        </w:rPr>
        <w:t>3.1 System Overview</w:t>
      </w:r>
    </w:p>
    <w:p>
      <w:pPr>
        <w:jc w:val="both"/>
        <w:spacing w:before="0" w:after="60" w:line="152400" w:lineRule="exact"/>
      </w:pPr>
      <w:r>
        <w:rPr>
          <w:rFonts w:ascii="Times New Roman" w:hAnsi="Times New Roman" w:eastAsia="Times New Roman"/>
          <w:b w:val="0"/>
          <w:i w:val="0"/>
          <w:sz w:val="20"/>
        </w:rPr>
        <w:t>The proposed voice conversion pipeline operates entirely in the discrete token domain of the Mimi neural audio codec. The system consists of three stages: (1) source audio encoding and semantic codebook extraction, (2) cross-speaker FAISS retrieval to obtain initial target-speaker tokens, and (3) CRT-based refinement of the retrieved tokens followed by Mimi decoding to produce the converted waveform.</w:t>
      </w:r>
    </w:p>
    <w:p>
      <w:pPr>
        <w:jc w:val="center"/>
        <w:shd w:fill="E8E8E8" w:val="clear"/>
        <w:spacing w:before="60" w:after="60" w:line="127000" w:lineRule="exact"/>
      </w:pPr>
      <w:r>
        <w:rPr>
          <w:rFonts w:ascii="Courier New" w:hAnsi="Courier New" w:eastAsia="Courier New"/>
          <w:b w:val="0"/>
          <w:i w:val="0"/>
          <w:sz w:val="16"/>
        </w:rPr>
        <w:t>Source Audio --&gt; Mimi Encode --&gt; Source CB0 --&gt; FAISS Search --&gt; Retrieved CB0-18</w:t>
        <w:br/>
        <w:t xml:space="preserve">                                                                      |</w:t>
        <w:br/>
        <w:t xml:space="preserve">                                                                      v</w:t>
        <w:br/>
        <w:t>Target Audio &lt;-- Mimi Decode &lt;-- Refined CB0-18 &lt;--- CRT + FiLM(speaker_emb)</w:t>
      </w:r>
    </w:p>
    <w:p>
      <w:pPr>
        <w:jc w:val="center"/>
        <w:spacing w:before="40" w:after="100"/>
      </w:pPr>
      <w:r>
        <w:rPr>
          <w:rFonts w:ascii="Times New Roman" w:hAnsi="Times New Roman" w:eastAsia="Times New Roman"/>
          <w:b w:val="0"/>
          <w:i w:val="0"/>
          <w:sz w:val="18"/>
        </w:rPr>
        <w:t>Figure 1. System pipeline: Mimi encode, FAISS retrieval, CRT refinement, Mimi decode.</w:t>
      </w:r>
    </w:p>
    <w:p>
      <w:pPr>
        <w:jc w:val="both"/>
        <w:spacing w:before="0" w:after="60" w:line="152400" w:lineRule="exact"/>
      </w:pPr>
      <w:r>
        <w:rPr>
          <w:rFonts w:ascii="Times New Roman" w:hAnsi="Times New Roman" w:eastAsia="Times New Roman"/>
          <w:b w:val="0"/>
          <w:i w:val="0"/>
          <w:sz w:val="20"/>
        </w:rPr>
        <w:t>The source audio is encoded by Mimi into a sequence of RVQ codebook indices. The semantic codebook (CB0) serves as the content representation for cross-speaker retrieval. FAISS searches a pre-built index of target speaker CB0 embeddings to find the closest matching frames. The corresponding codebooks CB1 through CB18 from those matched frames form the initial target token sequence. The CRT model, conditioned on a target speaker embedding via FiLM layers, then refines all 18 acoustic codebooks to produce the final token sequence that is decoded by Mimi into the output waveform.</w:t>
      </w:r>
    </w:p>
    <w:p>
      <w:pPr>
        <w:jc w:val="left"/>
        <w:spacing w:before="120" w:after="60"/>
      </w:pPr>
      <w:r>
        <w:rPr>
          <w:rFonts w:ascii="Times New Roman" w:hAnsi="Times New Roman" w:eastAsia="Times New Roman"/>
          <w:b/>
          <w:i w:val="0"/>
          <w:sz w:val="20"/>
        </w:rPr>
        <w:t>3.2 Mimi Neural Audio Codec</w:t>
      </w:r>
    </w:p>
    <w:p>
      <w:pPr>
        <w:jc w:val="both"/>
        <w:spacing w:before="0" w:after="60" w:line="152400" w:lineRule="exact"/>
      </w:pPr>
      <w:r>
        <w:rPr>
          <w:rFonts w:ascii="Times New Roman" w:hAnsi="Times New Roman" w:eastAsia="Times New Roman"/>
          <w:b w:val="0"/>
          <w:i w:val="0"/>
          <w:sz w:val="20"/>
        </w:rPr>
        <w:t>We employ the Mimi codec as our audio tokenizer, which compresses 24 kHz waveforms into discrete token sequences at a frame rate of 12.5 Hz using 19 residual vector quantization codebooks (CB0 through CB18), each with a vocabulary of 2048 entries. The first codebook (CB0) captures semantic content through a distillation objective that aligns its representations with a self-supervised speech model, while the remaining codebooks progressively encode finer acoustic details. This hierarchical structure, where linguistic content concentrates in early codebooks and speaker-specific timbre information distributes across later ones, is what enables selective manipulation for voice conversion.</w:t>
      </w:r>
    </w:p>
    <w:p>
      <w:pPr>
        <w:jc w:val="left"/>
        <w:spacing w:before="120" w:after="60"/>
      </w:pPr>
      <w:r>
        <w:rPr>
          <w:rFonts w:ascii="Times New Roman" w:hAnsi="Times New Roman" w:eastAsia="Times New Roman"/>
          <w:b/>
          <w:i w:val="0"/>
          <w:sz w:val="20"/>
        </w:rPr>
        <w:t>3.3 FAISS Cross-Speaker Retrieval</w:t>
      </w:r>
    </w:p>
    <w:p>
      <w:pPr>
        <w:jc w:val="both"/>
        <w:spacing w:before="0" w:after="60" w:line="152400" w:lineRule="exact"/>
      </w:pPr>
      <w:r>
        <w:rPr>
          <w:rFonts w:ascii="Times New Roman" w:hAnsi="Times New Roman" w:eastAsia="Times New Roman"/>
          <w:b w:val="0"/>
          <w:i w:val="0"/>
          <w:sz w:val="20"/>
        </w:rPr>
        <w:t>For each target speaker in the training set, we construct a FAISS index over the CB0 embedding vectors (256-dimensional) extracted from all available utterances of that speaker. At conversion time, each source frame's CB0 embedding is queried against the target speaker's index to retrieve the k nearest neighbors (k=4). We apply a temporal continuity heuristic that combines cosine similarity with positional smoothness:</w:t>
      </w:r>
    </w:p>
    <w:p>
      <w:pPr>
        <w:jc w:val="center"/>
        <w:shd w:fill="E8E8E8" w:val="clear"/>
        <w:spacing w:before="60" w:after="60" w:line="127000" w:lineRule="exact"/>
      </w:pPr>
      <w:r>
        <w:rPr>
          <w:rFonts w:ascii="Courier New" w:hAnsi="Courier New" w:eastAsia="Courier New"/>
          <w:b w:val="0"/>
          <w:i w:val="0"/>
          <w:sz w:val="16"/>
        </w:rPr>
        <w:t>score = 0.5 * cos_sim + 0.5 / (1 + |cand_pos - prev_pos| / frame_rate)</w:t>
      </w:r>
    </w:p>
    <w:p>
      <w:pPr>
        <w:jc w:val="both"/>
        <w:spacing w:before="0" w:after="60" w:line="152400" w:lineRule="exact"/>
      </w:pPr>
      <w:r>
        <w:rPr>
          <w:rFonts w:ascii="Times New Roman" w:hAnsi="Times New Roman" w:eastAsia="Times New Roman"/>
          <w:b w:val="0"/>
          <w:i w:val="0"/>
          <w:sz w:val="20"/>
        </w:rPr>
        <w:t>where cos_sim is the cosine similarity between query and candidate embeddings, cand_pos is the candidate frame position, prev_pos is the previously selected frame, and frame_rate is 12.5 Hz. This scoring function balances acoustic similarity with temporal coherence, reducing the jarring frame-level discontinuities that arise from purely similarity-based retrieval.</w:t>
      </w:r>
    </w:p>
    <w:p>
      <w:pPr>
        <w:jc w:val="left"/>
        <w:spacing w:before="120" w:after="60"/>
      </w:pPr>
      <w:r>
        <w:rPr>
          <w:rFonts w:ascii="Times New Roman" w:hAnsi="Times New Roman" w:eastAsia="Times New Roman"/>
          <w:b/>
          <w:i w:val="0"/>
          <w:sz w:val="20"/>
        </w:rPr>
        <w:t>3.4 Codebook Refinement Transformer (CRT)</w:t>
      </w:r>
    </w:p>
    <w:p>
      <w:pPr>
        <w:jc w:val="both"/>
        <w:spacing w:before="0" w:after="60" w:line="152400" w:lineRule="exact"/>
      </w:pPr>
      <w:r>
        <w:rPr>
          <w:rFonts w:ascii="Times New Roman" w:hAnsi="Times New Roman" w:eastAsia="Times New Roman"/>
          <w:b w:val="0"/>
          <w:i w:val="0"/>
          <w:sz w:val="20"/>
        </w:rPr>
        <w:t>The CRT is a non-autoregressive Conformer-based model that takes noisy retrieved codebook tokens and predicts refined codebook indices for CB1 through CB18. The input representation is formed by summing learned codebook embeddings across all 19 codebooks, producing a single vector per frame. This combined embedding is projected to the model dimension and processed by a stack of Conformer blocks.</w:t>
      </w:r>
    </w:p>
    <w:p>
      <w:pPr>
        <w:jc w:val="both"/>
        <w:spacing w:before="0" w:after="60" w:line="152400" w:lineRule="exact"/>
      </w:pPr>
      <w:r>
        <w:rPr>
          <w:rFonts w:ascii="Times New Roman" w:hAnsi="Times New Roman" w:eastAsia="Times New Roman"/>
          <w:b w:val="0"/>
          <w:i w:val="0"/>
          <w:sz w:val="20"/>
        </w:rPr>
        <w:t>Each Conformer block follows the macaron-style architecture: a half-step feed-forward network with expansion factor 4, multi-head self-attention with rotary positional encoding, a depth-wise separable convolution module with kernel size 31, and another half-step feed-forward network. Speaker conditioning is applied via FiLM after each self-attention layer, where a learned linear projection of the speaker embedding produces per-channel scale and bias parameters that modulate the attention output. The output of the final Conformer block is projected through 18 independent classification heads, one per codebook, each predicting a distribution over 2048 token indices.</w:t>
      </w:r>
    </w:p>
    <w:p>
      <w:pPr>
        <w:jc w:val="both"/>
        <w:spacing w:before="0" w:after="60" w:line="152400" w:lineRule="exact"/>
      </w:pPr>
      <w:r>
        <w:rPr>
          <w:rFonts w:ascii="Times New Roman" w:hAnsi="Times New Roman" w:eastAsia="Times New Roman"/>
          <w:b w:val="0"/>
          <w:i w:val="0"/>
          <w:sz w:val="20"/>
        </w:rPr>
        <w:t>Table 1 summarizes the model configurations explored in our experiments, ranging from a 2M parameter small model to the largest 706M configuration.</w:t>
      </w:r>
    </w:p>
    <w:p>
      <w:pPr>
        <w:jc w:val="center"/>
        <w:spacing w:before="100" w:after="40"/>
      </w:pPr>
      <w:r>
        <w:rPr>
          <w:rFonts w:ascii="Times New Roman" w:hAnsi="Times New Roman" w:eastAsia="Times New Roman"/>
          <w:b w:val="0"/>
          <w:i w:val="0"/>
          <w:sz w:val="18"/>
        </w:rPr>
        <w:t>Table 1. CRT model configurations.</w:t>
      </w:r>
    </w:p>
    <w:tbl>
      <w:tblPr>
        <w:tblStyle w:val="TableGrid"/>
        <w:tblW w:type="auto" w:w="0"/>
        <w:jc w:val="center"/>
        <w:tblLook w:firstColumn="1" w:firstRow="1" w:lastColumn="0" w:lastRow="0" w:noHBand="0" w:noVBand="1" w:val="04A0"/>
      </w:tblPr>
      <w:tblGrid>
        <w:gridCol w:w="1945"/>
        <w:gridCol w:w="1945"/>
        <w:gridCol w:w="1945"/>
        <w:gridCol w:w="1945"/>
        <w:gridCol w:w="1945"/>
      </w:tblGrid>
      <w:tr>
        <w:tc>
          <w:tcPr>
            <w:tcW w:type="dxa" w:w="1945"/>
            <w:shd w:fill="D9E2F3" w:val="clear"/>
          </w:tcPr>
          <w:p>
            <w:pPr>
              <w:jc w:val="center"/>
              <w:spacing w:before="20" w:after="20"/>
            </w:pPr>
            <w:r/>
            <w:r>
              <w:rPr>
                <w:rFonts w:ascii="Times New Roman" w:hAnsi="Times New Roman" w:eastAsia="Times New Roman"/>
                <w:b/>
                <w:i w:val="0"/>
                <w:sz w:val="18"/>
              </w:rPr>
              <w:t>Configuration</w:t>
            </w:r>
          </w:p>
        </w:tc>
        <w:tc>
          <w:tcPr>
            <w:tcW w:type="dxa" w:w="1945"/>
            <w:shd w:fill="D9E2F3" w:val="clear"/>
          </w:tcPr>
          <w:p>
            <w:pPr>
              <w:jc w:val="center"/>
              <w:spacing w:before="20" w:after="20"/>
            </w:pPr>
            <w:r/>
            <w:r>
              <w:rPr>
                <w:rFonts w:ascii="Times New Roman" w:hAnsi="Times New Roman" w:eastAsia="Times New Roman"/>
                <w:b/>
                <w:i w:val="0"/>
                <w:sz w:val="18"/>
              </w:rPr>
              <w:t>d_model</w:t>
            </w:r>
          </w:p>
        </w:tc>
        <w:tc>
          <w:tcPr>
            <w:tcW w:type="dxa" w:w="1945"/>
            <w:shd w:fill="D9E2F3" w:val="clear"/>
          </w:tcPr>
          <w:p>
            <w:pPr>
              <w:jc w:val="center"/>
              <w:spacing w:before="20" w:after="20"/>
            </w:pPr>
            <w:r/>
            <w:r>
              <w:rPr>
                <w:rFonts w:ascii="Times New Roman" w:hAnsi="Times New Roman" w:eastAsia="Times New Roman"/>
                <w:b/>
                <w:i w:val="0"/>
                <w:sz w:val="18"/>
              </w:rPr>
              <w:t>n_heads</w:t>
            </w:r>
          </w:p>
        </w:tc>
        <w:tc>
          <w:tcPr>
            <w:tcW w:type="dxa" w:w="1945"/>
            <w:shd w:fill="D9E2F3" w:val="clear"/>
          </w:tcPr>
          <w:p>
            <w:pPr>
              <w:jc w:val="center"/>
              <w:spacing w:before="20" w:after="20"/>
            </w:pPr>
            <w:r/>
            <w:r>
              <w:rPr>
                <w:rFonts w:ascii="Times New Roman" w:hAnsi="Times New Roman" w:eastAsia="Times New Roman"/>
                <w:b/>
                <w:i w:val="0"/>
                <w:sz w:val="18"/>
              </w:rPr>
              <w:t>n_layers</w:t>
            </w:r>
          </w:p>
        </w:tc>
        <w:tc>
          <w:tcPr>
            <w:tcW w:type="dxa" w:w="1945"/>
            <w:shd w:fill="D9E2F3" w:val="clear"/>
          </w:tcPr>
          <w:p>
            <w:pPr>
              <w:jc w:val="center"/>
              <w:spacing w:before="20" w:after="20"/>
            </w:pPr>
            <w:r/>
            <w:r>
              <w:rPr>
                <w:rFonts w:ascii="Times New Roman" w:hAnsi="Times New Roman" w:eastAsia="Times New Roman"/>
                <w:b/>
                <w:i w:val="0"/>
                <w:sz w:val="18"/>
              </w:rPr>
              <w:t>Parameters</w:t>
            </w:r>
          </w:p>
        </w:tc>
      </w:tr>
      <w:tr>
        <w:tc>
          <w:tcPr>
            <w:tcW w:type="dxa" w:w="1945"/>
          </w:tcPr>
          <w:p>
            <w:pPr>
              <w:jc w:val="center"/>
              <w:spacing w:before="15" w:after="15"/>
            </w:pPr>
            <w:r/>
            <w:r>
              <w:rPr>
                <w:rFonts w:ascii="Times New Roman" w:hAnsi="Times New Roman" w:eastAsia="Times New Roman"/>
                <w:b w:val="0"/>
                <w:i w:val="0"/>
                <w:sz w:val="18"/>
              </w:rPr>
              <w:t>Small</w:t>
            </w:r>
          </w:p>
        </w:tc>
        <w:tc>
          <w:tcPr>
            <w:tcW w:type="dxa" w:w="1945"/>
          </w:tcPr>
          <w:p>
            <w:pPr>
              <w:jc w:val="center"/>
              <w:spacing w:before="15" w:after="15"/>
            </w:pPr>
            <w:r/>
            <w:r>
              <w:rPr>
                <w:rFonts w:ascii="Times New Roman" w:hAnsi="Times New Roman" w:eastAsia="Times New Roman"/>
                <w:b w:val="0"/>
                <w:i w:val="0"/>
                <w:sz w:val="18"/>
              </w:rPr>
              <w:t>128</w:t>
            </w:r>
          </w:p>
        </w:tc>
        <w:tc>
          <w:tcPr>
            <w:tcW w:type="dxa" w:w="1945"/>
          </w:tcPr>
          <w:p>
            <w:pPr>
              <w:jc w:val="center"/>
              <w:spacing w:before="15" w:after="15"/>
            </w:pPr>
            <w:r/>
            <w:r>
              <w:rPr>
                <w:rFonts w:ascii="Times New Roman" w:hAnsi="Times New Roman" w:eastAsia="Times New Roman"/>
                <w:b w:val="0"/>
                <w:i w:val="0"/>
                <w:sz w:val="18"/>
              </w:rPr>
              <w:t>4</w:t>
            </w:r>
          </w:p>
        </w:tc>
        <w:tc>
          <w:tcPr>
            <w:tcW w:type="dxa" w:w="1945"/>
          </w:tcPr>
          <w:p>
            <w:pPr>
              <w:jc w:val="center"/>
              <w:spacing w:before="15" w:after="15"/>
            </w:pPr>
            <w:r/>
            <w:r>
              <w:rPr>
                <w:rFonts w:ascii="Times New Roman" w:hAnsi="Times New Roman" w:eastAsia="Times New Roman"/>
                <w:b w:val="0"/>
                <w:i w:val="0"/>
                <w:sz w:val="18"/>
              </w:rPr>
              <w:t>4</w:t>
            </w:r>
          </w:p>
        </w:tc>
        <w:tc>
          <w:tcPr>
            <w:tcW w:type="dxa" w:w="1945"/>
          </w:tcPr>
          <w:p>
            <w:pPr>
              <w:jc w:val="center"/>
              <w:spacing w:before="15" w:after="15"/>
            </w:pPr>
            <w:r/>
            <w:r>
              <w:rPr>
                <w:rFonts w:ascii="Times New Roman" w:hAnsi="Times New Roman" w:eastAsia="Times New Roman"/>
                <w:b w:val="0"/>
                <w:i w:val="0"/>
                <w:sz w:val="18"/>
              </w:rPr>
              <w:t>2M</w:t>
            </w:r>
          </w:p>
        </w:tc>
      </w:tr>
      <w:tr>
        <w:tc>
          <w:tcPr>
            <w:tcW w:type="dxa" w:w="1945"/>
          </w:tcPr>
          <w:p>
            <w:pPr>
              <w:jc w:val="center"/>
              <w:spacing w:before="15" w:after="15"/>
            </w:pPr>
            <w:r/>
            <w:r>
              <w:rPr>
                <w:rFonts w:ascii="Times New Roman" w:hAnsi="Times New Roman" w:eastAsia="Times New Roman"/>
                <w:b w:val="0"/>
                <w:i w:val="0"/>
                <w:sz w:val="18"/>
              </w:rPr>
              <w:t>Medium</w:t>
            </w:r>
          </w:p>
        </w:tc>
        <w:tc>
          <w:tcPr>
            <w:tcW w:type="dxa" w:w="1945"/>
          </w:tcPr>
          <w:p>
            <w:pPr>
              <w:jc w:val="center"/>
              <w:spacing w:before="15" w:after="15"/>
            </w:pPr>
            <w:r/>
            <w:r>
              <w:rPr>
                <w:rFonts w:ascii="Times New Roman" w:hAnsi="Times New Roman" w:eastAsia="Times New Roman"/>
                <w:b w:val="0"/>
                <w:i w:val="0"/>
                <w:sz w:val="18"/>
              </w:rPr>
              <w:t>256</w:t>
            </w:r>
          </w:p>
        </w:tc>
        <w:tc>
          <w:tcPr>
            <w:tcW w:type="dxa" w:w="1945"/>
          </w:tcPr>
          <w:p>
            <w:pPr>
              <w:jc w:val="center"/>
              <w:spacing w:before="15" w:after="15"/>
            </w:pPr>
            <w:r/>
            <w:r>
              <w:rPr>
                <w:rFonts w:ascii="Times New Roman" w:hAnsi="Times New Roman" w:eastAsia="Times New Roman"/>
                <w:b w:val="0"/>
                <w:i w:val="0"/>
                <w:sz w:val="18"/>
              </w:rPr>
              <w:t>4</w:t>
            </w:r>
          </w:p>
        </w:tc>
        <w:tc>
          <w:tcPr>
            <w:tcW w:type="dxa" w:w="1945"/>
          </w:tcPr>
          <w:p>
            <w:pPr>
              <w:jc w:val="center"/>
              <w:spacing w:before="15" w:after="15"/>
            </w:pPr>
            <w:r/>
            <w:r>
              <w:rPr>
                <w:rFonts w:ascii="Times New Roman" w:hAnsi="Times New Roman" w:eastAsia="Times New Roman"/>
                <w:b w:val="0"/>
                <w:i w:val="0"/>
                <w:sz w:val="18"/>
              </w:rPr>
              <w:t>6</w:t>
            </w:r>
          </w:p>
        </w:tc>
        <w:tc>
          <w:tcPr>
            <w:tcW w:type="dxa" w:w="1945"/>
          </w:tcPr>
          <w:p>
            <w:pPr>
              <w:jc w:val="center"/>
              <w:spacing w:before="15" w:after="15"/>
            </w:pPr>
            <w:r/>
            <w:r>
              <w:rPr>
                <w:rFonts w:ascii="Times New Roman" w:hAnsi="Times New Roman" w:eastAsia="Times New Roman"/>
                <w:b w:val="0"/>
                <w:i w:val="0"/>
                <w:sz w:val="18"/>
              </w:rPr>
              <w:t>8M</w:t>
            </w:r>
          </w:p>
        </w:tc>
      </w:tr>
      <w:tr>
        <w:tc>
          <w:tcPr>
            <w:tcW w:type="dxa" w:w="1945"/>
          </w:tcPr>
          <w:p>
            <w:pPr>
              <w:jc w:val="center"/>
              <w:spacing w:before="15" w:after="15"/>
            </w:pPr>
            <w:r/>
            <w:r>
              <w:rPr>
                <w:rFonts w:ascii="Times New Roman" w:hAnsi="Times New Roman" w:eastAsia="Times New Roman"/>
                <w:b w:val="0"/>
                <w:i w:val="0"/>
                <w:sz w:val="18"/>
              </w:rPr>
              <w:t>Large</w:t>
            </w:r>
          </w:p>
        </w:tc>
        <w:tc>
          <w:tcPr>
            <w:tcW w:type="dxa" w:w="1945"/>
          </w:tcPr>
          <w:p>
            <w:pPr>
              <w:jc w:val="center"/>
              <w:spacing w:before="15" w:after="15"/>
            </w:pPr>
            <w:r/>
            <w:r>
              <w:rPr>
                <w:rFonts w:ascii="Times New Roman" w:hAnsi="Times New Roman" w:eastAsia="Times New Roman"/>
                <w:b w:val="0"/>
                <w:i w:val="0"/>
                <w:sz w:val="18"/>
              </w:rPr>
              <w:t>512</w:t>
            </w:r>
          </w:p>
        </w:tc>
        <w:tc>
          <w:tcPr>
            <w:tcW w:type="dxa" w:w="1945"/>
          </w:tcPr>
          <w:p>
            <w:pPr>
              <w:jc w:val="center"/>
              <w:spacing w:before="15" w:after="15"/>
            </w:pPr>
            <w:r/>
            <w:r>
              <w:rPr>
                <w:rFonts w:ascii="Times New Roman" w:hAnsi="Times New Roman" w:eastAsia="Times New Roman"/>
                <w:b w:val="0"/>
                <w:i w:val="0"/>
                <w:sz w:val="18"/>
              </w:rPr>
              <w:t>8</w:t>
            </w:r>
          </w:p>
        </w:tc>
        <w:tc>
          <w:tcPr>
            <w:tcW w:type="dxa" w:w="1945"/>
          </w:tcPr>
          <w:p>
            <w:pPr>
              <w:jc w:val="center"/>
              <w:spacing w:before="15" w:after="15"/>
            </w:pPr>
            <w:r/>
            <w:r>
              <w:rPr>
                <w:rFonts w:ascii="Times New Roman" w:hAnsi="Times New Roman" w:eastAsia="Times New Roman"/>
                <w:b w:val="0"/>
                <w:i w:val="0"/>
                <w:sz w:val="18"/>
              </w:rPr>
              <w:t>8</w:t>
            </w:r>
          </w:p>
        </w:tc>
        <w:tc>
          <w:tcPr>
            <w:tcW w:type="dxa" w:w="1945"/>
          </w:tcPr>
          <w:p>
            <w:pPr>
              <w:jc w:val="center"/>
              <w:spacing w:before="15" w:after="15"/>
            </w:pPr>
            <w:r/>
            <w:r>
              <w:rPr>
                <w:rFonts w:ascii="Times New Roman" w:hAnsi="Times New Roman" w:eastAsia="Times New Roman"/>
                <w:b w:val="0"/>
                <w:i w:val="0"/>
                <w:sz w:val="18"/>
              </w:rPr>
              <w:t>28M</w:t>
            </w:r>
          </w:p>
        </w:tc>
      </w:tr>
      <w:tr>
        <w:tc>
          <w:tcPr>
            <w:tcW w:type="dxa" w:w="1945"/>
          </w:tcPr>
          <w:p>
            <w:pPr>
              <w:jc w:val="center"/>
              <w:spacing w:before="15" w:after="15"/>
            </w:pPr>
            <w:r/>
            <w:r>
              <w:rPr>
                <w:rFonts w:ascii="Times New Roman" w:hAnsi="Times New Roman" w:eastAsia="Times New Roman"/>
                <w:b w:val="0"/>
                <w:i w:val="0"/>
                <w:sz w:val="18"/>
              </w:rPr>
              <w:t>XLarge</w:t>
            </w:r>
          </w:p>
        </w:tc>
        <w:tc>
          <w:tcPr>
            <w:tcW w:type="dxa" w:w="1945"/>
          </w:tcPr>
          <w:p>
            <w:pPr>
              <w:jc w:val="center"/>
              <w:spacing w:before="15" w:after="15"/>
            </w:pPr>
            <w:r/>
            <w:r>
              <w:rPr>
                <w:rFonts w:ascii="Times New Roman" w:hAnsi="Times New Roman" w:eastAsia="Times New Roman"/>
                <w:b w:val="0"/>
                <w:i w:val="0"/>
                <w:sz w:val="18"/>
              </w:rPr>
              <w:t>1280</w:t>
            </w:r>
          </w:p>
        </w:tc>
        <w:tc>
          <w:tcPr>
            <w:tcW w:type="dxa" w:w="1945"/>
          </w:tcPr>
          <w:p>
            <w:pPr>
              <w:jc w:val="center"/>
              <w:spacing w:before="15" w:after="15"/>
            </w:pPr>
            <w:r/>
            <w:r>
              <w:rPr>
                <w:rFonts w:ascii="Times New Roman" w:hAnsi="Times New Roman" w:eastAsia="Times New Roman"/>
                <w:b w:val="0"/>
                <w:i w:val="0"/>
                <w:sz w:val="18"/>
              </w:rPr>
              <w:t>16</w:t>
            </w:r>
          </w:p>
        </w:tc>
        <w:tc>
          <w:tcPr>
            <w:tcW w:type="dxa" w:w="1945"/>
          </w:tcPr>
          <w:p>
            <w:pPr>
              <w:jc w:val="center"/>
              <w:spacing w:before="15" w:after="15"/>
            </w:pPr>
            <w:r/>
            <w:r>
              <w:rPr>
                <w:rFonts w:ascii="Times New Roman" w:hAnsi="Times New Roman" w:eastAsia="Times New Roman"/>
                <w:b w:val="0"/>
                <w:i w:val="0"/>
                <w:sz w:val="18"/>
              </w:rPr>
              <w:t>16</w:t>
            </w:r>
          </w:p>
        </w:tc>
        <w:tc>
          <w:tcPr>
            <w:tcW w:type="dxa" w:w="1945"/>
          </w:tcPr>
          <w:p>
            <w:pPr>
              <w:jc w:val="center"/>
              <w:spacing w:before="15" w:after="15"/>
            </w:pPr>
            <w:r/>
            <w:r>
              <w:rPr>
                <w:rFonts w:ascii="Times New Roman" w:hAnsi="Times New Roman" w:eastAsia="Times New Roman"/>
                <w:b w:val="0"/>
                <w:i w:val="0"/>
                <w:sz w:val="18"/>
              </w:rPr>
              <w:t>706M</w:t>
            </w:r>
          </w:p>
        </w:tc>
      </w:tr>
    </w:tbl>
    <w:p>
      <w:pPr>
        <w:jc w:val="left"/>
        <w:spacing w:before="120" w:after="60"/>
      </w:pPr>
      <w:r>
        <w:rPr>
          <w:rFonts w:ascii="Times New Roman" w:hAnsi="Times New Roman" w:eastAsia="Times New Roman"/>
          <w:b/>
          <w:i w:val="0"/>
          <w:sz w:val="20"/>
        </w:rPr>
        <w:t>3.5 Training Objectives</w:t>
      </w:r>
    </w:p>
    <w:p>
      <w:pPr>
        <w:jc w:val="both"/>
        <w:spacing w:before="0" w:after="60" w:line="152400" w:lineRule="exact"/>
      </w:pPr>
      <w:r>
        <w:rPr>
          <w:rFonts w:ascii="Times New Roman" w:hAnsi="Times New Roman" w:eastAsia="Times New Roman"/>
          <w:b w:val="0"/>
          <w:i w:val="0"/>
          <w:sz w:val="20"/>
        </w:rPr>
        <w:t>The CRT is trained with a combination of focal cross-entropy loss and speaker similarity regularization. The focal loss [9] down-weights well-classified tokens and focuses learning on difficult examples, which is particularly important given the imbalanced difficulty across codebook indices. For each of the 18 predicted codebooks, the focal loss is computed independently and averaged:</w:t>
      </w:r>
    </w:p>
    <w:p>
      <w:pPr>
        <w:jc w:val="center"/>
        <w:shd w:fill="E8E8E8" w:val="clear"/>
        <w:spacing w:before="60" w:after="60" w:line="127000" w:lineRule="exact"/>
      </w:pPr>
      <w:r>
        <w:rPr>
          <w:rFonts w:ascii="Courier New" w:hAnsi="Courier New" w:eastAsia="Courier New"/>
          <w:b w:val="0"/>
          <w:i w:val="0"/>
          <w:sz w:val="16"/>
        </w:rPr>
        <w:t>L_focal = -(1 - p_t)^gamma * log(p_t),  gamma = 2.0</w:t>
      </w:r>
    </w:p>
    <w:p>
      <w:pPr>
        <w:jc w:val="both"/>
        <w:spacing w:before="0" w:after="60" w:line="152400" w:lineRule="exact"/>
      </w:pPr>
      <w:r>
        <w:rPr>
          <w:rFonts w:ascii="Times New Roman" w:hAnsi="Times New Roman" w:eastAsia="Times New Roman"/>
          <w:b w:val="0"/>
          <w:i w:val="0"/>
          <w:sz w:val="20"/>
        </w:rPr>
        <w:t>To explicitly encourage speaker identity preservation, we introduce a SECS regularization term. During training, the model's predicted token logits are converted to soft codebook embeddings via a weighted sum over the codebook embedding table (using softmax probabilities as weights). These soft embeddings are decoded by the frozen Mimi decoder to produce a waveform estimate, from which a pre-trained speaker encoder [10, 11] extracts a speaker embedding. The SECS loss maximizes the cosine similarity between this predicted speaker embedding and the target speaker embedding:</w:t>
      </w:r>
    </w:p>
    <w:p>
      <w:pPr>
        <w:jc w:val="center"/>
        <w:shd w:fill="E8E8E8" w:val="clear"/>
        <w:spacing w:before="60" w:after="60" w:line="127000" w:lineRule="exact"/>
      </w:pPr>
      <w:r>
        <w:rPr>
          <w:rFonts w:ascii="Courier New" w:hAnsi="Courier New" w:eastAsia="Courier New"/>
          <w:b w:val="0"/>
          <w:i w:val="0"/>
          <w:sz w:val="16"/>
        </w:rPr>
        <w:t>L_secs = 1 - cos(emb_pred, emb_target)</w:t>
      </w:r>
    </w:p>
    <w:p>
      <w:pPr>
        <w:jc w:val="both"/>
        <w:spacing w:before="0" w:after="60" w:line="152400" w:lineRule="exact"/>
      </w:pPr>
      <w:r>
        <w:rPr>
          <w:rFonts w:ascii="Times New Roman" w:hAnsi="Times New Roman" w:eastAsia="Times New Roman"/>
          <w:b w:val="0"/>
          <w:i w:val="0"/>
          <w:sz w:val="20"/>
        </w:rPr>
        <w:t>The total training objective is a weighted combination:</w:t>
      </w:r>
    </w:p>
    <w:p>
      <w:pPr>
        <w:jc w:val="center"/>
        <w:shd w:fill="E8E8E8" w:val="clear"/>
        <w:spacing w:before="60" w:after="60" w:line="127000" w:lineRule="exact"/>
      </w:pPr>
      <w:r>
        <w:rPr>
          <w:rFonts w:ascii="Courier New" w:hAnsi="Courier New" w:eastAsia="Courier New"/>
          <w:b w:val="0"/>
          <w:i w:val="0"/>
          <w:sz w:val="16"/>
        </w:rPr>
        <w:t>L_total = L_focal + lambda_secs * L_secs,  lambda_secs = 0.1</w:t>
      </w:r>
    </w:p>
    <w:p>
      <w:pPr>
        <w:jc w:val="left"/>
        <w:spacing w:before="120" w:after="60"/>
      </w:pPr>
      <w:r>
        <w:rPr>
          <w:rFonts w:ascii="Times New Roman" w:hAnsi="Times New Roman" w:eastAsia="Times New Roman"/>
          <w:b/>
          <w:i w:val="0"/>
          <w:sz w:val="20"/>
        </w:rPr>
        <w:t>3.6 Curriculum Corruption</w:t>
      </w:r>
    </w:p>
    <w:p>
      <w:pPr>
        <w:jc w:val="both"/>
        <w:spacing w:before="0" w:after="60" w:line="152400" w:lineRule="exact"/>
      </w:pPr>
      <w:r>
        <w:rPr>
          <w:rFonts w:ascii="Times New Roman" w:hAnsi="Times New Roman" w:eastAsia="Times New Roman"/>
          <w:b w:val="0"/>
          <w:i w:val="0"/>
          <w:sz w:val="20"/>
        </w:rPr>
        <w:t>We employ a curriculum corruption strategy that progressively increases the difficulty of the denoising task during training. At each training step, a fraction of the input codebook tokens are randomly replaced with tokens from a different speaker, simulating the errors introduced by FAISS retrieval. The corruption rate follows a three-phase schedule:</w:t>
      </w:r>
    </w:p>
    <w:p>
      <w:pPr>
        <w:jc w:val="center"/>
        <w:spacing w:before="100" w:after="40"/>
      </w:pPr>
      <w:r>
        <w:rPr>
          <w:rFonts w:ascii="Times New Roman" w:hAnsi="Times New Roman" w:eastAsia="Times New Roman"/>
          <w:b w:val="0"/>
          <w:i w:val="0"/>
          <w:sz w:val="18"/>
        </w:rPr>
        <w:t>Table 2. Curriculum corruption schedule.</w:t>
      </w:r>
    </w:p>
    <w:tbl>
      <w:tblPr>
        <w:tblStyle w:val="TableGrid"/>
        <w:tblW w:type="auto" w:w="0"/>
        <w:jc w:val="center"/>
        <w:tblLook w:firstColumn="1" w:firstRow="1" w:lastColumn="0" w:lastRow="0" w:noHBand="0" w:noVBand="1" w:val="04A0"/>
      </w:tblPr>
      <w:tblGrid>
        <w:gridCol w:w="3241"/>
        <w:gridCol w:w="3241"/>
        <w:gridCol w:w="3241"/>
      </w:tblGrid>
      <w:tr>
        <w:tc>
          <w:tcPr>
            <w:tcW w:type="dxa" w:w="3241"/>
            <w:shd w:fill="D9E2F3" w:val="clear"/>
          </w:tcPr>
          <w:p>
            <w:pPr>
              <w:jc w:val="center"/>
              <w:spacing w:before="20" w:after="20"/>
            </w:pPr>
            <w:r/>
            <w:r>
              <w:rPr>
                <w:rFonts w:ascii="Times New Roman" w:hAnsi="Times New Roman" w:eastAsia="Times New Roman"/>
                <w:b/>
                <w:i w:val="0"/>
                <w:sz w:val="18"/>
              </w:rPr>
              <w:t>Phase</w:t>
            </w:r>
          </w:p>
        </w:tc>
        <w:tc>
          <w:tcPr>
            <w:tcW w:type="dxa" w:w="3241"/>
            <w:shd w:fill="D9E2F3" w:val="clear"/>
          </w:tcPr>
          <w:p>
            <w:pPr>
              <w:jc w:val="center"/>
              <w:spacing w:before="20" w:after="20"/>
            </w:pPr>
            <w:r/>
            <w:r>
              <w:rPr>
                <w:rFonts w:ascii="Times New Roman" w:hAnsi="Times New Roman" w:eastAsia="Times New Roman"/>
                <w:b/>
                <w:i w:val="0"/>
                <w:sz w:val="18"/>
              </w:rPr>
              <w:t>Steps</w:t>
            </w:r>
          </w:p>
        </w:tc>
        <w:tc>
          <w:tcPr>
            <w:tcW w:type="dxa" w:w="3241"/>
            <w:shd w:fill="D9E2F3" w:val="clear"/>
          </w:tcPr>
          <w:p>
            <w:pPr>
              <w:jc w:val="center"/>
              <w:spacing w:before="20" w:after="20"/>
            </w:pPr>
            <w:r/>
            <w:r>
              <w:rPr>
                <w:rFonts w:ascii="Times New Roman" w:hAnsi="Times New Roman" w:eastAsia="Times New Roman"/>
                <w:b/>
                <w:i w:val="0"/>
                <w:sz w:val="18"/>
              </w:rPr>
              <w:t>Corruption Rate</w:t>
            </w:r>
          </w:p>
        </w:tc>
      </w:tr>
      <w:tr>
        <w:tc>
          <w:tcPr>
            <w:tcW w:type="dxa" w:w="3241"/>
          </w:tcPr>
          <w:p>
            <w:pPr>
              <w:jc w:val="center"/>
              <w:spacing w:before="15" w:after="15"/>
            </w:pPr>
            <w:r/>
            <w:r>
              <w:rPr>
                <w:rFonts w:ascii="Times New Roman" w:hAnsi="Times New Roman" w:eastAsia="Times New Roman"/>
                <w:b w:val="0"/>
                <w:i w:val="0"/>
                <w:sz w:val="18"/>
              </w:rPr>
              <w:t>Easy</w:t>
            </w:r>
          </w:p>
        </w:tc>
        <w:tc>
          <w:tcPr>
            <w:tcW w:type="dxa" w:w="3241"/>
          </w:tcPr>
          <w:p>
            <w:pPr>
              <w:jc w:val="center"/>
              <w:spacing w:before="15" w:after="15"/>
            </w:pPr>
            <w:r/>
            <w:r>
              <w:rPr>
                <w:rFonts w:ascii="Times New Roman" w:hAnsi="Times New Roman" w:eastAsia="Times New Roman"/>
                <w:b w:val="0"/>
                <w:i w:val="0"/>
                <w:sz w:val="18"/>
              </w:rPr>
              <w:t>0 - 20k</w:t>
            </w:r>
          </w:p>
        </w:tc>
        <w:tc>
          <w:tcPr>
            <w:tcW w:type="dxa" w:w="3241"/>
          </w:tcPr>
          <w:p>
            <w:pPr>
              <w:jc w:val="center"/>
              <w:spacing w:before="15" w:after="15"/>
            </w:pPr>
            <w:r/>
            <w:r>
              <w:rPr>
                <w:rFonts w:ascii="Times New Roman" w:hAnsi="Times New Roman" w:eastAsia="Times New Roman"/>
                <w:b w:val="0"/>
                <w:i w:val="0"/>
                <w:sz w:val="18"/>
              </w:rPr>
              <w:t>30%</w:t>
            </w:r>
          </w:p>
        </w:tc>
      </w:tr>
      <w:tr>
        <w:tc>
          <w:tcPr>
            <w:tcW w:type="dxa" w:w="3241"/>
          </w:tcPr>
          <w:p>
            <w:pPr>
              <w:jc w:val="center"/>
              <w:spacing w:before="15" w:after="15"/>
            </w:pPr>
            <w:r/>
            <w:r>
              <w:rPr>
                <w:rFonts w:ascii="Times New Roman" w:hAnsi="Times New Roman" w:eastAsia="Times New Roman"/>
                <w:b w:val="0"/>
                <w:i w:val="0"/>
                <w:sz w:val="18"/>
              </w:rPr>
              <w:t>Medium</w:t>
            </w:r>
          </w:p>
        </w:tc>
        <w:tc>
          <w:tcPr>
            <w:tcW w:type="dxa" w:w="3241"/>
          </w:tcPr>
          <w:p>
            <w:pPr>
              <w:jc w:val="center"/>
              <w:spacing w:before="15" w:after="15"/>
            </w:pPr>
            <w:r/>
            <w:r>
              <w:rPr>
                <w:rFonts w:ascii="Times New Roman" w:hAnsi="Times New Roman" w:eastAsia="Times New Roman"/>
                <w:b w:val="0"/>
                <w:i w:val="0"/>
                <w:sz w:val="18"/>
              </w:rPr>
              <w:t>20k - 40k</w:t>
            </w:r>
          </w:p>
        </w:tc>
        <w:tc>
          <w:tcPr>
            <w:tcW w:type="dxa" w:w="3241"/>
          </w:tcPr>
          <w:p>
            <w:pPr>
              <w:jc w:val="center"/>
              <w:spacing w:before="15" w:after="15"/>
            </w:pPr>
            <w:r/>
            <w:r>
              <w:rPr>
                <w:rFonts w:ascii="Times New Roman" w:hAnsi="Times New Roman" w:eastAsia="Times New Roman"/>
                <w:b w:val="0"/>
                <w:i w:val="0"/>
                <w:sz w:val="18"/>
              </w:rPr>
              <w:t>50%</w:t>
            </w:r>
          </w:p>
        </w:tc>
      </w:tr>
      <w:tr>
        <w:tc>
          <w:tcPr>
            <w:tcW w:type="dxa" w:w="3241"/>
          </w:tcPr>
          <w:p>
            <w:pPr>
              <w:jc w:val="center"/>
              <w:spacing w:before="15" w:after="15"/>
            </w:pPr>
            <w:r/>
            <w:r>
              <w:rPr>
                <w:rFonts w:ascii="Times New Roman" w:hAnsi="Times New Roman" w:eastAsia="Times New Roman"/>
                <w:b w:val="0"/>
                <w:i w:val="0"/>
                <w:sz w:val="18"/>
              </w:rPr>
              <w:t>Hard</w:t>
            </w:r>
          </w:p>
        </w:tc>
        <w:tc>
          <w:tcPr>
            <w:tcW w:type="dxa" w:w="3241"/>
          </w:tcPr>
          <w:p>
            <w:pPr>
              <w:jc w:val="center"/>
              <w:spacing w:before="15" w:after="15"/>
            </w:pPr>
            <w:r/>
            <w:r>
              <w:rPr>
                <w:rFonts w:ascii="Times New Roman" w:hAnsi="Times New Roman" w:eastAsia="Times New Roman"/>
                <w:b w:val="0"/>
                <w:i w:val="0"/>
                <w:sz w:val="18"/>
              </w:rPr>
              <w:t>40k - 60k</w:t>
            </w:r>
          </w:p>
        </w:tc>
        <w:tc>
          <w:tcPr>
            <w:tcW w:type="dxa" w:w="3241"/>
          </w:tcPr>
          <w:p>
            <w:pPr>
              <w:jc w:val="center"/>
              <w:spacing w:before="15" w:after="15"/>
            </w:pPr>
            <w:r/>
            <w:r>
              <w:rPr>
                <w:rFonts w:ascii="Times New Roman" w:hAnsi="Times New Roman" w:eastAsia="Times New Roman"/>
                <w:b w:val="0"/>
                <w:i w:val="0"/>
                <w:sz w:val="18"/>
              </w:rPr>
              <w:t>70%</w:t>
            </w:r>
          </w:p>
        </w:tc>
      </w:tr>
    </w:tbl>
    <w:p>
      <w:pPr>
        <w:jc w:val="both"/>
        <w:spacing w:before="0" w:after="60" w:line="152400" w:lineRule="exact"/>
      </w:pPr>
      <w:r>
        <w:rPr>
          <w:rFonts w:ascii="Times New Roman" w:hAnsi="Times New Roman" w:eastAsia="Times New Roman"/>
          <w:b w:val="0"/>
          <w:i w:val="0"/>
          <w:sz w:val="20"/>
        </w:rPr>
        <w:t>This curriculum allows the model to first learn basic codebook prediction patterns from relatively clean inputs, then progressively adapt to noisier conditions that better approximate the actual FAISS retrieval output distribution. The final 70% corruption rate was selected to slightly exceed the estimated real retrieval error rate, providing a margin of robustness.</w:t>
      </w:r>
    </w:p>
    <w:p>
      <w:pPr>
        <w:jc w:val="left"/>
        <w:spacing w:before="200" w:after="80"/>
      </w:pPr>
      <w:r>
        <w:rPr>
          <w:rFonts w:ascii="Times New Roman" w:hAnsi="Times New Roman" w:eastAsia="Times New Roman"/>
          <w:b/>
          <w:i w:val="0"/>
          <w:sz w:val="22"/>
        </w:rPr>
        <w:t>4. EXPERIMENTS</w:t>
      </w:r>
    </w:p>
    <w:p>
      <w:pPr>
        <w:jc w:val="left"/>
        <w:spacing w:before="120" w:after="60"/>
      </w:pPr>
      <w:r>
        <w:rPr>
          <w:rFonts w:ascii="Times New Roman" w:hAnsi="Times New Roman" w:eastAsia="Times New Roman"/>
          <w:b/>
          <w:i w:val="0"/>
          <w:sz w:val="20"/>
        </w:rPr>
        <w:t>4.1 Dataset</w:t>
      </w:r>
    </w:p>
    <w:p>
      <w:pPr>
        <w:jc w:val="both"/>
        <w:spacing w:before="0" w:after="60" w:line="152400" w:lineRule="exact"/>
      </w:pPr>
      <w:r>
        <w:rPr>
          <w:rFonts w:ascii="Times New Roman" w:hAnsi="Times New Roman" w:eastAsia="Times New Roman"/>
          <w:b w:val="0"/>
          <w:i w:val="0"/>
          <w:sz w:val="20"/>
        </w:rPr>
        <w:t>We train and evaluate on a processed multi-speaker dataset derived from LibriSpeech and LibriTTS corpora. The dataset contains 2,338 speakers with a total duration of 80.4 hours after preprocessing. All audio is resampled to 24 kHz to match the Mimi codec input requirements. Speaker embeddings are pre-extracted using a GE2E-trained speaker encoder [10, 11] and stored alongside the Mimi-encoded token sequences. We use a single held-out source-target pair for evaluation, converting a 10-second utterance from source speaker 1580 to target speaker 7127.</w:t>
      </w:r>
    </w:p>
    <w:p>
      <w:pPr>
        <w:jc w:val="left"/>
        <w:spacing w:before="120" w:after="60"/>
      </w:pPr>
      <w:r>
        <w:rPr>
          <w:rFonts w:ascii="Times New Roman" w:hAnsi="Times New Roman" w:eastAsia="Times New Roman"/>
          <w:b/>
          <w:i w:val="0"/>
          <w:sz w:val="20"/>
        </w:rPr>
        <w:t>4.2 Training Setup</w:t>
      </w:r>
    </w:p>
    <w:p>
      <w:pPr>
        <w:jc w:val="both"/>
        <w:spacing w:before="0" w:after="60" w:line="152400" w:lineRule="exact"/>
      </w:pPr>
      <w:r>
        <w:rPr>
          <w:rFonts w:ascii="Times New Roman" w:hAnsi="Times New Roman" w:eastAsia="Times New Roman"/>
          <w:b w:val="0"/>
          <w:i w:val="0"/>
          <w:sz w:val="20"/>
        </w:rPr>
        <w:t>All models are trained on a single NVIDIA A100-SXM4-80GB GPU managed through a SLURM cluster scheduling system. We use the AdamW optimizer with a learning rate of 1e-4, weight decay of 0.01, and a cosine annealing schedule. Training sequences are cropped to 128 frames (approximately 10 seconds at the 12.5 Hz frame rate). The batch size is 32 for all configurations. Gradient accumulation is used for the larger models to fit within GPU memory constraints.</w:t>
      </w:r>
    </w:p>
    <w:p>
      <w:pPr>
        <w:jc w:val="left"/>
        <w:spacing w:before="120" w:after="60"/>
      </w:pPr>
      <w:r>
        <w:rPr>
          <w:rFonts w:ascii="Times New Roman" w:hAnsi="Times New Roman" w:eastAsia="Times New Roman"/>
          <w:b/>
          <w:i w:val="0"/>
          <w:sz w:val="20"/>
        </w:rPr>
        <w:t>4.3 Evaluation Metrics</w:t>
      </w:r>
    </w:p>
    <w:p>
      <w:pPr>
        <w:jc w:val="both"/>
        <w:spacing w:before="0" w:after="60" w:line="152400" w:lineRule="exact"/>
      </w:pPr>
      <w:r>
        <w:rPr>
          <w:rFonts w:ascii="Times New Roman" w:hAnsi="Times New Roman" w:eastAsia="Times New Roman"/>
          <w:b w:val="0"/>
          <w:i w:val="0"/>
          <w:sz w:val="20"/>
        </w:rPr>
        <w:t>We evaluate our models using four complementary metrics. Speaker Encoder Cosine Similarity (SECS) measures the cosine similarity between speaker embeddings extracted from the converted audio and the target speaker's reference embedding, quantifying speaker identity preservation. Mel Cepstral Distortion (MCD) computes the spectral distance between converted and target audio on 80-band mel spectrograms at 24 kHz. Codebook accuracy (CB Acc) measures the percentage of correctly predicted tokens for each codebook index. Word Error Rate (WER) is measured using Whisper-large-v3 automatic speech recognition on the converted audio, quantifying intelligibility preservation.</w:t>
      </w:r>
    </w:p>
    <w:p>
      <w:pPr>
        <w:jc w:val="both"/>
        <w:spacing w:before="0" w:after="40" w:line="127000" w:lineRule="exact"/>
      </w:pPr>
      <w:r>
        <w:rPr>
          <w:rFonts w:ascii="Times New Roman" w:hAnsi="Times New Roman" w:eastAsia="Times New Roman"/>
          <w:b w:val="0"/>
          <w:i/>
          <w:sz w:val="16"/>
        </w:rPr>
        <w:t>Note: MCD values reported in this work are computed on 80-band mel spectrograms at 24 kHz. These absolute values are not directly comparable to standard 13-MFCC MCD benchmarks, which typically range from 3 to 8 dB. Our metric represents mel-scale spectral distance rather than standard cepstral distortion.</w:t>
      </w:r>
    </w:p>
    <w:p>
      <w:pPr>
        <w:jc w:val="left"/>
        <w:spacing w:before="120" w:after="60"/>
      </w:pPr>
      <w:r>
        <w:rPr>
          <w:rFonts w:ascii="Times New Roman" w:hAnsi="Times New Roman" w:eastAsia="Times New Roman"/>
          <w:b/>
          <w:i w:val="0"/>
          <w:sz w:val="20"/>
        </w:rPr>
        <w:t>4.4 Model Scaling Results</w:t>
      </w:r>
    </w:p>
    <w:p>
      <w:pPr>
        <w:jc w:val="both"/>
        <w:spacing w:before="0" w:after="60" w:line="152400" w:lineRule="exact"/>
      </w:pPr>
      <w:r>
        <w:rPr>
          <w:rFonts w:ascii="Times New Roman" w:hAnsi="Times New Roman" w:eastAsia="Times New Roman"/>
          <w:b w:val="0"/>
          <w:i w:val="0"/>
          <w:sz w:val="20"/>
        </w:rPr>
        <w:t>We present results across model scaling experiments in Table 3. The table includes the FAISS baseline, progressive model scaling from v5.3.1 through v5.3.2, and the final v5.6 configuration that incorporates both curriculum corruption and SECS regularization.</w:t>
      </w:r>
    </w:p>
    <w:p>
      <w:pPr>
        <w:jc w:val="center"/>
        <w:spacing w:before="100" w:after="40"/>
      </w:pPr>
      <w:r>
        <w:rPr>
          <w:rFonts w:ascii="Times New Roman" w:hAnsi="Times New Roman" w:eastAsia="Times New Roman"/>
          <w:b w:val="0"/>
          <w:i w:val="0"/>
          <w:sz w:val="18"/>
        </w:rPr>
        <w:t>Table 3. Model scaling results and comparison with FAISS baseline.</w:t>
      </w:r>
    </w:p>
    <w:tbl>
      <w:tblPr>
        <w:tblStyle w:val="TableGrid"/>
        <w:tblW w:type="auto" w:w="0"/>
        <w:jc w:val="center"/>
        <w:tblLook w:firstColumn="1" w:firstRow="1" w:lastColumn="0" w:lastRow="0" w:noHBand="0" w:noVBand="1" w:val="04A0"/>
      </w:tblPr>
      <w:tblGrid>
        <w:gridCol w:w="1215"/>
        <w:gridCol w:w="1215"/>
        <w:gridCol w:w="1215"/>
        <w:gridCol w:w="1215"/>
        <w:gridCol w:w="1215"/>
        <w:gridCol w:w="1215"/>
        <w:gridCol w:w="1215"/>
        <w:gridCol w:w="1215"/>
      </w:tblGrid>
      <w:tr>
        <w:tc>
          <w:tcPr>
            <w:tcW w:type="dxa" w:w="1984"/>
            <w:shd w:fill="D9E2F3" w:val="clear"/>
          </w:tcPr>
          <w:p>
            <w:pPr>
              <w:jc w:val="center"/>
              <w:spacing w:before="20" w:after="20"/>
            </w:pPr>
            <w:r/>
            <w:r>
              <w:rPr>
                <w:rFonts w:ascii="Times New Roman" w:hAnsi="Times New Roman" w:eastAsia="Times New Roman"/>
                <w:b/>
                <w:i w:val="0"/>
                <w:sz w:val="18"/>
              </w:rPr>
              <w:t>Model</w:t>
            </w:r>
          </w:p>
        </w:tc>
        <w:tc>
          <w:tcPr>
            <w:tcW w:type="dxa" w:w="1020"/>
            <w:shd w:fill="D9E2F3" w:val="clear"/>
          </w:tcPr>
          <w:p>
            <w:pPr>
              <w:jc w:val="center"/>
              <w:spacing w:before="20" w:after="20"/>
            </w:pPr>
            <w:r/>
            <w:r>
              <w:rPr>
                <w:rFonts w:ascii="Times New Roman" w:hAnsi="Times New Roman" w:eastAsia="Times New Roman"/>
                <w:b/>
                <w:i w:val="0"/>
                <w:sz w:val="18"/>
              </w:rPr>
              <w:t>Params</w:t>
            </w:r>
          </w:p>
        </w:tc>
        <w:tc>
          <w:tcPr>
            <w:tcW w:type="dxa" w:w="737"/>
            <w:shd w:fill="D9E2F3" w:val="clear"/>
          </w:tcPr>
          <w:p>
            <w:pPr>
              <w:jc w:val="center"/>
              <w:spacing w:before="20" w:after="20"/>
            </w:pPr>
            <w:r/>
            <w:r>
              <w:rPr>
                <w:rFonts w:ascii="Times New Roman" w:hAnsi="Times New Roman" w:eastAsia="Times New Roman"/>
                <w:b/>
                <w:i w:val="0"/>
                <w:sz w:val="18"/>
              </w:rPr>
              <w:t>Steps</w:t>
            </w:r>
          </w:p>
        </w:tc>
        <w:tc>
          <w:tcPr>
            <w:tcW w:type="dxa" w:w="680"/>
            <w:shd w:fill="D9E2F3" w:val="clear"/>
          </w:tcPr>
          <w:p>
            <w:pPr>
              <w:jc w:val="center"/>
              <w:spacing w:before="20" w:after="20"/>
            </w:pPr>
            <w:r/>
            <w:r>
              <w:rPr>
                <w:rFonts w:ascii="Times New Roman" w:hAnsi="Times New Roman" w:eastAsia="Times New Roman"/>
                <w:b/>
                <w:i w:val="0"/>
                <w:sz w:val="18"/>
              </w:rPr>
              <w:t>Loss</w:t>
            </w:r>
          </w:p>
        </w:tc>
        <w:tc>
          <w:tcPr>
            <w:tcW w:type="dxa" w:w="850"/>
            <w:shd w:fill="D9E2F3" w:val="clear"/>
          </w:tcPr>
          <w:p>
            <w:pPr>
              <w:jc w:val="center"/>
              <w:spacing w:before="20" w:after="20"/>
            </w:pPr>
            <w:r/>
            <w:r>
              <w:rPr>
                <w:rFonts w:ascii="Times New Roman" w:hAnsi="Times New Roman" w:eastAsia="Times New Roman"/>
                <w:b/>
                <w:i w:val="0"/>
                <w:sz w:val="18"/>
              </w:rPr>
              <w:t>CB1 Acc</w:t>
            </w:r>
          </w:p>
        </w:tc>
        <w:tc>
          <w:tcPr>
            <w:tcW w:type="dxa" w:w="737"/>
            <w:shd w:fill="D9E2F3" w:val="clear"/>
          </w:tcPr>
          <w:p>
            <w:pPr>
              <w:jc w:val="center"/>
              <w:spacing w:before="20" w:after="20"/>
            </w:pPr>
            <w:r/>
            <w:r>
              <w:rPr>
                <w:rFonts w:ascii="Times New Roman" w:hAnsi="Times New Roman" w:eastAsia="Times New Roman"/>
                <w:b/>
                <w:i w:val="0"/>
                <w:sz w:val="18"/>
              </w:rPr>
              <w:t>SECS</w:t>
            </w:r>
          </w:p>
        </w:tc>
        <w:tc>
          <w:tcPr>
            <w:tcW w:type="dxa" w:w="737"/>
            <w:shd w:fill="D9E2F3" w:val="clear"/>
          </w:tcPr>
          <w:p>
            <w:pPr>
              <w:jc w:val="center"/>
              <w:spacing w:before="20" w:after="20"/>
            </w:pPr>
            <w:r/>
            <w:r>
              <w:rPr>
                <w:rFonts w:ascii="Times New Roman" w:hAnsi="Times New Roman" w:eastAsia="Times New Roman"/>
                <w:b/>
                <w:i w:val="0"/>
                <w:sz w:val="18"/>
              </w:rPr>
              <w:t>MCD</w:t>
            </w:r>
          </w:p>
        </w:tc>
        <w:tc>
          <w:tcPr>
            <w:tcW w:type="dxa" w:w="737"/>
            <w:shd w:fill="D9E2F3" w:val="clear"/>
          </w:tcPr>
          <w:p>
            <w:pPr>
              <w:jc w:val="center"/>
              <w:spacing w:before="20" w:after="20"/>
            </w:pPr>
            <w:r/>
            <w:r>
              <w:rPr>
                <w:rFonts w:ascii="Times New Roman" w:hAnsi="Times New Roman" w:eastAsia="Times New Roman"/>
                <w:b/>
                <w:i w:val="0"/>
                <w:sz w:val="18"/>
              </w:rPr>
              <w:t>WER</w:t>
            </w:r>
          </w:p>
        </w:tc>
      </w:tr>
      <w:tr>
        <w:tc>
          <w:tcPr>
            <w:tcW w:type="dxa" w:w="1984"/>
          </w:tcPr>
          <w:p>
            <w:pPr>
              <w:jc w:val="center"/>
              <w:spacing w:before="15" w:after="15"/>
            </w:pPr>
            <w:r/>
            <w:r>
              <w:rPr>
                <w:rFonts w:ascii="Times New Roman" w:hAnsi="Times New Roman" w:eastAsia="Times New Roman"/>
                <w:b w:val="0"/>
                <w:i w:val="0"/>
                <w:sz w:val="18"/>
              </w:rPr>
              <w:t>v5.3.1 (d=768)</w:t>
            </w:r>
          </w:p>
        </w:tc>
        <w:tc>
          <w:tcPr>
            <w:tcW w:type="dxa" w:w="1020"/>
          </w:tcPr>
          <w:p>
            <w:pPr>
              <w:jc w:val="center"/>
              <w:spacing w:before="15" w:after="15"/>
            </w:pPr>
            <w:r/>
            <w:r>
              <w:rPr>
                <w:rFonts w:ascii="Times New Roman" w:hAnsi="Times New Roman" w:eastAsia="Times New Roman"/>
                <w:b w:val="0"/>
                <w:i w:val="0"/>
                <w:sz w:val="18"/>
              </w:rPr>
              <w:t>250.7M</w:t>
            </w:r>
          </w:p>
        </w:tc>
        <w:tc>
          <w:tcPr>
            <w:tcW w:type="dxa" w:w="737"/>
          </w:tcPr>
          <w:p>
            <w:pPr>
              <w:jc w:val="center"/>
              <w:spacing w:before="15" w:after="15"/>
            </w:pPr>
            <w:r/>
            <w:r>
              <w:rPr>
                <w:rFonts w:ascii="Times New Roman" w:hAnsi="Times New Roman" w:eastAsia="Times New Roman"/>
                <w:b w:val="0"/>
                <w:i w:val="0"/>
                <w:sz w:val="18"/>
              </w:rPr>
              <w:t>30k</w:t>
            </w:r>
          </w:p>
        </w:tc>
        <w:tc>
          <w:tcPr>
            <w:tcW w:type="dxa" w:w="680"/>
          </w:tcPr>
          <w:p>
            <w:pPr>
              <w:jc w:val="center"/>
              <w:spacing w:before="15" w:after="15"/>
            </w:pPr>
            <w:r/>
            <w:r>
              <w:rPr>
                <w:rFonts w:ascii="Times New Roman" w:hAnsi="Times New Roman" w:eastAsia="Times New Roman"/>
                <w:b w:val="0"/>
                <w:i w:val="0"/>
                <w:sz w:val="18"/>
              </w:rPr>
              <w:t>5.317</w:t>
            </w:r>
          </w:p>
        </w:tc>
        <w:tc>
          <w:tcPr>
            <w:tcW w:type="dxa" w:w="850"/>
          </w:tcPr>
          <w:p>
            <w:pPr>
              <w:jc w:val="center"/>
              <w:spacing w:before="15" w:after="15"/>
            </w:pPr>
            <w:r/>
            <w:r>
              <w:rPr>
                <w:rFonts w:ascii="Times New Roman" w:hAnsi="Times New Roman" w:eastAsia="Times New Roman"/>
                <w:b w:val="0"/>
                <w:i w:val="0"/>
                <w:sz w:val="18"/>
              </w:rPr>
              <w:t>31.3%</w:t>
            </w:r>
          </w:p>
        </w:tc>
        <w:tc>
          <w:tcPr>
            <w:tcW w:type="dxa" w:w="737"/>
          </w:tcPr>
          <w:p>
            <w:pPr>
              <w:jc w:val="center"/>
              <w:spacing w:before="15" w:after="15"/>
            </w:pPr>
            <w:r/>
            <w:r>
              <w:rPr>
                <w:rFonts w:ascii="Times New Roman" w:hAnsi="Times New Roman" w:eastAsia="Times New Roman"/>
                <w:b w:val="0"/>
                <w:i w:val="0"/>
                <w:sz w:val="18"/>
              </w:rPr>
              <w:t>0.757</w:t>
            </w:r>
          </w:p>
        </w:tc>
        <w:tc>
          <w:tcPr>
            <w:tcW w:type="dxa" w:w="737"/>
          </w:tcPr>
          <w:p>
            <w:pPr>
              <w:jc w:val="center"/>
              <w:spacing w:before="15" w:after="15"/>
            </w:pPr>
            <w:r/>
            <w:r>
              <w:rPr>
                <w:rFonts w:ascii="Times New Roman" w:hAnsi="Times New Roman" w:eastAsia="Times New Roman"/>
                <w:b w:val="0"/>
                <w:i w:val="0"/>
                <w:sz w:val="18"/>
              </w:rPr>
              <w:t>132.8</w:t>
            </w:r>
          </w:p>
        </w:tc>
        <w:tc>
          <w:tcPr>
            <w:tcW w:type="dxa" w:w="737"/>
          </w:tcPr>
          <w:p>
            <w:pPr>
              <w:jc w:val="center"/>
              <w:spacing w:before="15" w:after="15"/>
            </w:pPr>
            <w:r/>
            <w:r>
              <w:rPr>
                <w:rFonts w:ascii="Times New Roman" w:hAnsi="Times New Roman" w:eastAsia="Times New Roman"/>
                <w:b w:val="0"/>
                <w:i w:val="0"/>
                <w:sz w:val="18"/>
              </w:rPr>
              <w:t>—</w:t>
            </w:r>
          </w:p>
        </w:tc>
      </w:tr>
      <w:tr>
        <w:tc>
          <w:tcPr>
            <w:tcW w:type="dxa" w:w="1984"/>
          </w:tcPr>
          <w:p>
            <w:pPr>
              <w:jc w:val="center"/>
              <w:spacing w:before="15" w:after="15"/>
            </w:pPr>
            <w:r/>
            <w:r>
              <w:rPr>
                <w:rFonts w:ascii="Times New Roman" w:hAnsi="Times New Roman" w:eastAsia="Times New Roman"/>
                <w:b w:val="0"/>
                <w:i w:val="0"/>
                <w:sz w:val="18"/>
              </w:rPr>
              <w:t>v5.3.1 (d=1024)</w:t>
            </w:r>
          </w:p>
        </w:tc>
        <w:tc>
          <w:tcPr>
            <w:tcW w:type="dxa" w:w="1020"/>
          </w:tcPr>
          <w:p>
            <w:pPr>
              <w:jc w:val="center"/>
              <w:spacing w:before="15" w:after="15"/>
            </w:pPr>
            <w:r/>
            <w:r>
              <w:rPr>
                <w:rFonts w:ascii="Times New Roman" w:hAnsi="Times New Roman" w:eastAsia="Times New Roman"/>
                <w:b w:val="0"/>
                <w:i w:val="0"/>
                <w:sz w:val="18"/>
              </w:rPr>
              <w:t>419.5M</w:t>
            </w:r>
          </w:p>
        </w:tc>
        <w:tc>
          <w:tcPr>
            <w:tcW w:type="dxa" w:w="737"/>
          </w:tcPr>
          <w:p>
            <w:pPr>
              <w:jc w:val="center"/>
              <w:spacing w:before="15" w:after="15"/>
            </w:pPr>
            <w:r/>
            <w:r>
              <w:rPr>
                <w:rFonts w:ascii="Times New Roman" w:hAnsi="Times New Roman" w:eastAsia="Times New Roman"/>
                <w:b w:val="0"/>
                <w:i w:val="0"/>
                <w:sz w:val="18"/>
              </w:rPr>
              <w:t>30k</w:t>
            </w:r>
          </w:p>
        </w:tc>
        <w:tc>
          <w:tcPr>
            <w:tcW w:type="dxa" w:w="680"/>
          </w:tcPr>
          <w:p>
            <w:pPr>
              <w:jc w:val="center"/>
              <w:spacing w:before="15" w:after="15"/>
            </w:pPr>
            <w:r/>
            <w:r>
              <w:rPr>
                <w:rFonts w:ascii="Times New Roman" w:hAnsi="Times New Roman" w:eastAsia="Times New Roman"/>
                <w:b w:val="0"/>
                <w:i w:val="0"/>
                <w:sz w:val="18"/>
              </w:rPr>
              <w:t>4.761</w:t>
            </w:r>
          </w:p>
        </w:tc>
        <w:tc>
          <w:tcPr>
            <w:tcW w:type="dxa" w:w="850"/>
          </w:tcPr>
          <w:p>
            <w:pPr>
              <w:jc w:val="center"/>
              <w:spacing w:before="15" w:after="15"/>
            </w:pPr>
            <w:r/>
            <w:r>
              <w:rPr>
                <w:rFonts w:ascii="Times New Roman" w:hAnsi="Times New Roman" w:eastAsia="Times New Roman"/>
                <w:b w:val="0"/>
                <w:i w:val="0"/>
                <w:sz w:val="18"/>
              </w:rPr>
              <w:t>40.5%</w:t>
            </w:r>
          </w:p>
        </w:tc>
        <w:tc>
          <w:tcPr>
            <w:tcW w:type="dxa" w:w="737"/>
          </w:tcPr>
          <w:p>
            <w:pPr>
              <w:jc w:val="center"/>
              <w:spacing w:before="15" w:after="15"/>
            </w:pPr>
            <w:r/>
            <w:r>
              <w:rPr>
                <w:rFonts w:ascii="Times New Roman" w:hAnsi="Times New Roman" w:eastAsia="Times New Roman"/>
                <w:b w:val="0"/>
                <w:i w:val="0"/>
                <w:sz w:val="18"/>
              </w:rPr>
              <w:t>0.765</w:t>
            </w:r>
          </w:p>
        </w:tc>
        <w:tc>
          <w:tcPr>
            <w:tcW w:type="dxa" w:w="737"/>
          </w:tcPr>
          <w:p>
            <w:pPr>
              <w:jc w:val="center"/>
              <w:spacing w:before="15" w:after="15"/>
            </w:pPr>
            <w:r/>
            <w:r>
              <w:rPr>
                <w:rFonts w:ascii="Times New Roman" w:hAnsi="Times New Roman" w:eastAsia="Times New Roman"/>
                <w:b w:val="0"/>
                <w:i w:val="0"/>
                <w:sz w:val="18"/>
              </w:rPr>
              <w:t>129.4</w:t>
            </w:r>
          </w:p>
        </w:tc>
        <w:tc>
          <w:tcPr>
            <w:tcW w:type="dxa" w:w="737"/>
          </w:tcPr>
          <w:p>
            <w:pPr>
              <w:jc w:val="center"/>
              <w:spacing w:before="15" w:after="15"/>
            </w:pPr>
            <w:r/>
            <w:r>
              <w:rPr>
                <w:rFonts w:ascii="Times New Roman" w:hAnsi="Times New Roman" w:eastAsia="Times New Roman"/>
                <w:b w:val="0"/>
                <w:i w:val="0"/>
                <w:sz w:val="18"/>
              </w:rPr>
              <w:t>—</w:t>
            </w:r>
          </w:p>
        </w:tc>
      </w:tr>
      <w:tr>
        <w:tc>
          <w:tcPr>
            <w:tcW w:type="dxa" w:w="1984"/>
          </w:tcPr>
          <w:p>
            <w:pPr>
              <w:jc w:val="center"/>
              <w:spacing w:before="15" w:after="15"/>
            </w:pPr>
            <w:r/>
            <w:r>
              <w:rPr>
                <w:rFonts w:ascii="Times New Roman" w:hAnsi="Times New Roman" w:eastAsia="Times New Roman"/>
                <w:b w:val="0"/>
                <w:i w:val="0"/>
                <w:sz w:val="18"/>
              </w:rPr>
              <w:t>v5.3.2 (d=1280)</w:t>
            </w:r>
          </w:p>
        </w:tc>
        <w:tc>
          <w:tcPr>
            <w:tcW w:type="dxa" w:w="1020"/>
          </w:tcPr>
          <w:p>
            <w:pPr>
              <w:jc w:val="center"/>
              <w:spacing w:before="15" w:after="15"/>
            </w:pPr>
            <w:r/>
            <w:r>
              <w:rPr>
                <w:rFonts w:ascii="Times New Roman" w:hAnsi="Times New Roman" w:eastAsia="Times New Roman"/>
                <w:b w:val="0"/>
                <w:i w:val="0"/>
                <w:sz w:val="18"/>
              </w:rPr>
              <w:t>706.4M</w:t>
            </w:r>
          </w:p>
        </w:tc>
        <w:tc>
          <w:tcPr>
            <w:tcW w:type="dxa" w:w="737"/>
          </w:tcPr>
          <w:p>
            <w:pPr>
              <w:jc w:val="center"/>
              <w:spacing w:before="15" w:after="15"/>
            </w:pPr>
            <w:r/>
            <w:r>
              <w:rPr>
                <w:rFonts w:ascii="Times New Roman" w:hAnsi="Times New Roman" w:eastAsia="Times New Roman"/>
                <w:b w:val="0"/>
                <w:i w:val="0"/>
                <w:sz w:val="18"/>
              </w:rPr>
              <w:t>60k</w:t>
            </w:r>
          </w:p>
        </w:tc>
        <w:tc>
          <w:tcPr>
            <w:tcW w:type="dxa" w:w="680"/>
          </w:tcPr>
          <w:p>
            <w:pPr>
              <w:jc w:val="center"/>
              <w:spacing w:before="15" w:after="15"/>
            </w:pPr>
            <w:r/>
            <w:r>
              <w:rPr>
                <w:rFonts w:ascii="Times New Roman" w:hAnsi="Times New Roman" w:eastAsia="Times New Roman"/>
                <w:b w:val="0"/>
                <w:i w:val="0"/>
                <w:sz w:val="18"/>
              </w:rPr>
              <w:t>2.760</w:t>
            </w:r>
          </w:p>
        </w:tc>
        <w:tc>
          <w:tcPr>
            <w:tcW w:type="dxa" w:w="850"/>
          </w:tcPr>
          <w:p>
            <w:pPr>
              <w:jc w:val="center"/>
              <w:spacing w:before="15" w:after="15"/>
            </w:pPr>
            <w:r/>
            <w:r>
              <w:rPr>
                <w:rFonts w:ascii="Times New Roman" w:hAnsi="Times New Roman" w:eastAsia="Times New Roman"/>
                <w:b w:val="0"/>
                <w:i w:val="0"/>
                <w:sz w:val="18"/>
              </w:rPr>
              <w:t>57%</w:t>
            </w:r>
          </w:p>
        </w:tc>
        <w:tc>
          <w:tcPr>
            <w:tcW w:type="dxa" w:w="737"/>
          </w:tcPr>
          <w:p>
            <w:pPr>
              <w:jc w:val="center"/>
              <w:spacing w:before="15" w:after="15"/>
            </w:pPr>
            <w:r/>
            <w:r>
              <w:rPr>
                <w:rFonts w:ascii="Times New Roman" w:hAnsi="Times New Roman" w:eastAsia="Times New Roman"/>
                <w:b w:val="0"/>
                <w:i w:val="0"/>
                <w:sz w:val="18"/>
              </w:rPr>
              <w:t>0.765</w:t>
            </w:r>
          </w:p>
        </w:tc>
        <w:tc>
          <w:tcPr>
            <w:tcW w:type="dxa" w:w="737"/>
          </w:tcPr>
          <w:p>
            <w:pPr>
              <w:jc w:val="center"/>
              <w:spacing w:before="15" w:after="15"/>
            </w:pPr>
            <w:r/>
            <w:r>
              <w:rPr>
                <w:rFonts w:ascii="Times New Roman" w:hAnsi="Times New Roman" w:eastAsia="Times New Roman"/>
                <w:b w:val="0"/>
                <w:i w:val="0"/>
                <w:sz w:val="18"/>
              </w:rPr>
              <w:t>—</w:t>
            </w:r>
          </w:p>
        </w:tc>
        <w:tc>
          <w:tcPr>
            <w:tcW w:type="dxa" w:w="737"/>
          </w:tcPr>
          <w:p>
            <w:pPr>
              <w:jc w:val="center"/>
              <w:spacing w:before="15" w:after="15"/>
            </w:pPr>
            <w:r/>
            <w:r>
              <w:rPr>
                <w:rFonts w:ascii="Times New Roman" w:hAnsi="Times New Roman" w:eastAsia="Times New Roman"/>
                <w:b w:val="0"/>
                <w:i w:val="0"/>
                <w:sz w:val="18"/>
              </w:rPr>
              <w:t>15.7%</w:t>
            </w:r>
          </w:p>
        </w:tc>
      </w:tr>
      <w:tr>
        <w:tc>
          <w:tcPr>
            <w:tcW w:type="dxa" w:w="1984"/>
          </w:tcPr>
          <w:p>
            <w:pPr>
              <w:jc w:val="center"/>
              <w:spacing w:before="15" w:after="15"/>
            </w:pPr>
            <w:r/>
            <w:r>
              <w:rPr>
                <w:rFonts w:ascii="Times New Roman" w:hAnsi="Times New Roman" w:eastAsia="Times New Roman"/>
                <w:b w:val="0"/>
                <w:i w:val="0"/>
                <w:sz w:val="18"/>
              </w:rPr>
              <w:t>v5.6 (d=1280)</w:t>
            </w:r>
          </w:p>
        </w:tc>
        <w:tc>
          <w:tcPr>
            <w:tcW w:type="dxa" w:w="1020"/>
          </w:tcPr>
          <w:p>
            <w:pPr>
              <w:jc w:val="center"/>
              <w:spacing w:before="15" w:after="15"/>
            </w:pPr>
            <w:r/>
            <w:r>
              <w:rPr>
                <w:rFonts w:ascii="Times New Roman" w:hAnsi="Times New Roman" w:eastAsia="Times New Roman"/>
                <w:b w:val="0"/>
                <w:i w:val="0"/>
                <w:sz w:val="18"/>
              </w:rPr>
              <w:t>706.4M</w:t>
            </w:r>
          </w:p>
        </w:tc>
        <w:tc>
          <w:tcPr>
            <w:tcW w:type="dxa" w:w="737"/>
          </w:tcPr>
          <w:p>
            <w:pPr>
              <w:jc w:val="center"/>
              <w:spacing w:before="15" w:after="15"/>
            </w:pPr>
            <w:r/>
            <w:r>
              <w:rPr>
                <w:rFonts w:ascii="Times New Roman" w:hAnsi="Times New Roman" w:eastAsia="Times New Roman"/>
                <w:b w:val="0"/>
                <w:i w:val="0"/>
                <w:sz w:val="18"/>
              </w:rPr>
              <w:t>60k</w:t>
            </w:r>
          </w:p>
        </w:tc>
        <w:tc>
          <w:tcPr>
            <w:tcW w:type="dxa" w:w="680"/>
          </w:tcPr>
          <w:p>
            <w:pPr>
              <w:jc w:val="center"/>
              <w:spacing w:before="15" w:after="15"/>
            </w:pPr>
            <w:r/>
            <w:r>
              <w:rPr>
                <w:rFonts w:ascii="Times New Roman" w:hAnsi="Times New Roman" w:eastAsia="Times New Roman"/>
                <w:b w:val="0"/>
                <w:i w:val="0"/>
                <w:sz w:val="18"/>
              </w:rPr>
              <w:t>2.680</w:t>
            </w:r>
          </w:p>
        </w:tc>
        <w:tc>
          <w:tcPr>
            <w:tcW w:type="dxa" w:w="850"/>
          </w:tcPr>
          <w:p>
            <w:pPr>
              <w:jc w:val="center"/>
              <w:spacing w:before="15" w:after="15"/>
            </w:pPr>
            <w:r/>
            <w:r>
              <w:rPr>
                <w:rFonts w:ascii="Times New Roman" w:hAnsi="Times New Roman" w:eastAsia="Times New Roman"/>
                <w:b w:val="0"/>
                <w:i w:val="0"/>
                <w:sz w:val="18"/>
              </w:rPr>
              <w:t>58%</w:t>
            </w:r>
          </w:p>
        </w:tc>
        <w:tc>
          <w:tcPr>
            <w:tcW w:type="dxa" w:w="737"/>
          </w:tcPr>
          <w:p>
            <w:pPr>
              <w:jc w:val="center"/>
              <w:spacing w:before="15" w:after="15"/>
            </w:pPr>
            <w:r/>
            <w:r>
              <w:rPr>
                <w:rFonts w:ascii="Times New Roman" w:hAnsi="Times New Roman" w:eastAsia="Times New Roman"/>
                <w:b w:val="0"/>
                <w:i w:val="0"/>
                <w:sz w:val="18"/>
              </w:rPr>
              <w:t>0.842</w:t>
            </w:r>
          </w:p>
        </w:tc>
        <w:tc>
          <w:tcPr>
            <w:tcW w:type="dxa" w:w="737"/>
          </w:tcPr>
          <w:p>
            <w:pPr>
              <w:jc w:val="center"/>
              <w:spacing w:before="15" w:after="15"/>
            </w:pPr>
            <w:r/>
            <w:r>
              <w:rPr>
                <w:rFonts w:ascii="Times New Roman" w:hAnsi="Times New Roman" w:eastAsia="Times New Roman"/>
                <w:b w:val="0"/>
                <w:i w:val="0"/>
                <w:sz w:val="18"/>
              </w:rPr>
              <w:t>112.3</w:t>
            </w:r>
          </w:p>
        </w:tc>
        <w:tc>
          <w:tcPr>
            <w:tcW w:type="dxa" w:w="737"/>
          </w:tcPr>
          <w:p>
            <w:pPr>
              <w:jc w:val="center"/>
              <w:spacing w:before="15" w:after="15"/>
            </w:pPr>
            <w:r/>
            <w:r>
              <w:rPr>
                <w:rFonts w:ascii="Times New Roman" w:hAnsi="Times New Roman" w:eastAsia="Times New Roman"/>
                <w:b w:val="0"/>
                <w:i w:val="0"/>
                <w:sz w:val="18"/>
              </w:rPr>
              <w:t>14.9%</w:t>
            </w:r>
          </w:p>
        </w:tc>
      </w:tr>
      <w:tr>
        <w:tc>
          <w:tcPr>
            <w:tcW w:type="dxa" w:w="1984"/>
          </w:tcPr>
          <w:p>
            <w:pPr>
              <w:jc w:val="center"/>
              <w:spacing w:before="15" w:after="15"/>
            </w:pPr>
            <w:r/>
            <w:r>
              <w:rPr>
                <w:rFonts w:ascii="Times New Roman" w:hAnsi="Times New Roman" w:eastAsia="Times New Roman"/>
                <w:b w:val="0"/>
                <w:i w:val="0"/>
                <w:sz w:val="18"/>
              </w:rPr>
              <w:t>FAISS baseline</w:t>
            </w:r>
          </w:p>
        </w:tc>
        <w:tc>
          <w:tcPr>
            <w:tcW w:type="dxa" w:w="1020"/>
          </w:tcPr>
          <w:p>
            <w:pPr>
              <w:jc w:val="center"/>
              <w:spacing w:before="15" w:after="15"/>
            </w:pPr>
            <w:r/>
            <w:r>
              <w:rPr>
                <w:rFonts w:ascii="Times New Roman" w:hAnsi="Times New Roman" w:eastAsia="Times New Roman"/>
                <w:b w:val="0"/>
                <w:i w:val="0"/>
                <w:sz w:val="18"/>
              </w:rPr>
              <w:t>—</w:t>
            </w:r>
          </w:p>
        </w:tc>
        <w:tc>
          <w:tcPr>
            <w:tcW w:type="dxa" w:w="737"/>
          </w:tcPr>
          <w:p>
            <w:pPr>
              <w:jc w:val="center"/>
              <w:spacing w:before="15" w:after="15"/>
            </w:pPr>
            <w:r/>
            <w:r>
              <w:rPr>
                <w:rFonts w:ascii="Times New Roman" w:hAnsi="Times New Roman" w:eastAsia="Times New Roman"/>
                <w:b w:val="0"/>
                <w:i w:val="0"/>
                <w:sz w:val="18"/>
              </w:rPr>
              <w:t>—</w:t>
            </w:r>
          </w:p>
        </w:tc>
        <w:tc>
          <w:tcPr>
            <w:tcW w:type="dxa" w:w="680"/>
          </w:tcPr>
          <w:p>
            <w:pPr>
              <w:jc w:val="center"/>
              <w:spacing w:before="15" w:after="15"/>
            </w:pPr>
            <w:r/>
            <w:r>
              <w:rPr>
                <w:rFonts w:ascii="Times New Roman" w:hAnsi="Times New Roman" w:eastAsia="Times New Roman"/>
                <w:b w:val="0"/>
                <w:i w:val="0"/>
                <w:sz w:val="18"/>
              </w:rPr>
              <w:t>—</w:t>
            </w:r>
          </w:p>
        </w:tc>
        <w:tc>
          <w:tcPr>
            <w:tcW w:type="dxa" w:w="850"/>
          </w:tcPr>
          <w:p>
            <w:pPr>
              <w:jc w:val="center"/>
              <w:spacing w:before="15" w:after="15"/>
            </w:pPr>
            <w:r/>
            <w:r>
              <w:rPr>
                <w:rFonts w:ascii="Times New Roman" w:hAnsi="Times New Roman" w:eastAsia="Times New Roman"/>
                <w:b w:val="0"/>
                <w:i w:val="0"/>
                <w:sz w:val="18"/>
              </w:rPr>
              <w:t>—</w:t>
            </w:r>
          </w:p>
        </w:tc>
        <w:tc>
          <w:tcPr>
            <w:tcW w:type="dxa" w:w="737"/>
          </w:tcPr>
          <w:p>
            <w:pPr>
              <w:jc w:val="center"/>
              <w:spacing w:before="15" w:after="15"/>
            </w:pPr>
            <w:r/>
            <w:r>
              <w:rPr>
                <w:rFonts w:ascii="Times New Roman" w:hAnsi="Times New Roman" w:eastAsia="Times New Roman"/>
                <w:b w:val="0"/>
                <w:i w:val="0"/>
                <w:sz w:val="18"/>
              </w:rPr>
              <w:t>0.879</w:t>
            </w:r>
          </w:p>
        </w:tc>
        <w:tc>
          <w:tcPr>
            <w:tcW w:type="dxa" w:w="737"/>
          </w:tcPr>
          <w:p>
            <w:pPr>
              <w:jc w:val="center"/>
              <w:spacing w:before="15" w:after="15"/>
            </w:pPr>
            <w:r/>
            <w:r>
              <w:rPr>
                <w:rFonts w:ascii="Times New Roman" w:hAnsi="Times New Roman" w:eastAsia="Times New Roman"/>
                <w:b w:val="0"/>
                <w:i w:val="0"/>
                <w:sz w:val="18"/>
              </w:rPr>
              <w:t>106.5</w:t>
            </w:r>
          </w:p>
        </w:tc>
        <w:tc>
          <w:tcPr>
            <w:tcW w:type="dxa" w:w="737"/>
          </w:tcPr>
          <w:p>
            <w:pPr>
              <w:jc w:val="center"/>
              <w:spacing w:before="15" w:after="15"/>
            </w:pPr>
            <w:r/>
            <w:r>
              <w:rPr>
                <w:rFonts w:ascii="Times New Roman" w:hAnsi="Times New Roman" w:eastAsia="Times New Roman"/>
                <w:b w:val="0"/>
                <w:i w:val="0"/>
                <w:sz w:val="18"/>
              </w:rPr>
              <w:t>18.2%</w:t>
            </w:r>
          </w:p>
        </w:tc>
      </w:tr>
    </w:tbl>
    <w:p>
      <w:pPr>
        <w:jc w:val="both"/>
        <w:spacing w:before="0" w:after="60" w:line="152400" w:lineRule="exact"/>
      </w:pPr>
      <w:r>
        <w:rPr>
          <w:rFonts w:ascii="Times New Roman" w:hAnsi="Times New Roman" w:eastAsia="Times New Roman"/>
          <w:b w:val="0"/>
          <w:i w:val="0"/>
          <w:sz w:val="20"/>
        </w:rPr>
        <w:t>Scaling the model dimension from 768 to 1280 yields consistent improvements in both loss and codebook accuracy. The 706M-parameter v5.3.2 model achieves 57% CB1 accuracy after 60k training steps with curriculum corruption. Adding the SECS regularization loss in v5.6 provides a modest improvement to 58% CB1 accuracy while substantially improving speaker similarity from 0.765 to 0.842. This closes 64% of the gap between the CRT output (0.765) and the FAISS baseline (0.879), confirming that the SECS loss effectively guides the model toward preserving speaker identity.</w:t>
      </w:r>
    </w:p>
    <w:p>
      <w:pPr>
        <w:jc w:val="both"/>
        <w:spacing w:before="0" w:after="60" w:line="152400" w:lineRule="exact"/>
      </w:pPr>
      <w:r>
        <w:rPr>
          <w:rFonts w:ascii="Times New Roman" w:hAnsi="Times New Roman" w:eastAsia="Times New Roman"/>
          <w:b w:val="0"/>
          <w:i w:val="0"/>
          <w:sz w:val="20"/>
        </w:rPr>
        <w:t>The WER results provide additional evidence of CRT's value. The FAISS baseline produces a WER of 18.2%, reflecting the intelligibility degradation caused by frame-level discontinuities in the retrieved token sequences. The CRT v5.3.2 reduces this to 15.7%, and v5.6 further improves to 14.9%, indicating that the refinement process not only smooths temporal transitions but also preserves linguistic content more faithfully.</w:t>
      </w:r>
    </w:p>
    <w:p>
      <w:pPr>
        <w:jc w:val="both"/>
        <w:spacing w:before="0" w:after="60" w:line="152400" w:lineRule="exact"/>
      </w:pPr>
      <w:r>
        <w:rPr>
          <w:rFonts w:ascii="Times New Roman" w:hAnsi="Times New Roman" w:eastAsia="Times New Roman"/>
          <w:b w:val="0"/>
          <w:i w:val="0"/>
          <w:sz w:val="20"/>
        </w:rPr>
        <w:t>The curriculum corruption training produces a characteristic loss curve with distinct phase transitions: rapid convergence during Phase 1, a temporary spike at the Phase 2 transition, and final adaptation under the challenging 70% corruption of Phase 3.</w:t>
      </w:r>
    </w:p>
    <w:p>
      <w:pPr>
        <w:jc w:val="left"/>
        <w:spacing w:before="120" w:after="60"/>
      </w:pPr>
      <w:r>
        <w:rPr>
          <w:rFonts w:ascii="Times New Roman" w:hAnsi="Times New Roman" w:eastAsia="Times New Roman"/>
          <w:b/>
          <w:i w:val="0"/>
          <w:sz w:val="20"/>
        </w:rPr>
        <w:t>4.5 Ablation Study</w:t>
      </w:r>
    </w:p>
    <w:p>
      <w:pPr>
        <w:jc w:val="both"/>
        <w:spacing w:before="0" w:after="60" w:line="152400" w:lineRule="exact"/>
      </w:pPr>
      <w:r>
        <w:rPr>
          <w:rFonts w:ascii="Times New Roman" w:hAnsi="Times New Roman" w:eastAsia="Times New Roman"/>
          <w:b w:val="0"/>
          <w:i w:val="0"/>
          <w:sz w:val="20"/>
        </w:rPr>
        <w:t>To isolate the contributions of curriculum corruption and SECS regularization, we conduct a controlled ablation study holding model architecture (706M, d=1280) and training duration (60k steps) constant. Table 5 presents the results.</w:t>
      </w:r>
    </w:p>
    <w:p>
      <w:pPr>
        <w:jc w:val="center"/>
        <w:spacing w:before="100" w:after="40"/>
      </w:pPr>
      <w:r>
        <w:rPr>
          <w:rFonts w:ascii="Times New Roman" w:hAnsi="Times New Roman" w:eastAsia="Times New Roman"/>
          <w:b w:val="0"/>
          <w:i w:val="0"/>
          <w:sz w:val="18"/>
        </w:rPr>
        <w:t>Table 5. Ablation study: curriculum corruption and SECS loss contributions.</w:t>
      </w:r>
    </w:p>
    <w:tbl>
      <w:tblPr>
        <w:tblStyle w:val="TableGrid"/>
        <w:tblW w:type="auto" w:w="0"/>
        <w:jc w:val="center"/>
        <w:tblLook w:firstColumn="1" w:firstRow="1" w:lastColumn="0" w:lastRow="0" w:noHBand="0" w:noVBand="1" w:val="04A0"/>
      </w:tblPr>
      <w:tblGrid>
        <w:gridCol w:w="1621"/>
        <w:gridCol w:w="1621"/>
        <w:gridCol w:w="1621"/>
        <w:gridCol w:w="1621"/>
        <w:gridCol w:w="1621"/>
        <w:gridCol w:w="1621"/>
      </w:tblGrid>
      <w:tr>
        <w:tc>
          <w:tcPr>
            <w:tcW w:type="dxa" w:w="1134"/>
            <w:shd w:fill="D9E2F3" w:val="clear"/>
          </w:tcPr>
          <w:p>
            <w:pPr>
              <w:jc w:val="center"/>
              <w:spacing w:before="20" w:after="20"/>
            </w:pPr>
            <w:r/>
            <w:r>
              <w:rPr>
                <w:rFonts w:ascii="Times New Roman" w:hAnsi="Times New Roman" w:eastAsia="Times New Roman"/>
                <w:b/>
                <w:i w:val="0"/>
                <w:sz w:val="18"/>
              </w:rPr>
              <w:t>Config</w:t>
            </w:r>
          </w:p>
        </w:tc>
        <w:tc>
          <w:tcPr>
            <w:tcW w:type="dxa" w:w="1701"/>
            <w:shd w:fill="D9E2F3" w:val="clear"/>
          </w:tcPr>
          <w:p>
            <w:pPr>
              <w:jc w:val="center"/>
              <w:spacing w:before="20" w:after="20"/>
            </w:pPr>
            <w:r/>
            <w:r>
              <w:rPr>
                <w:rFonts w:ascii="Times New Roman" w:hAnsi="Times New Roman" w:eastAsia="Times New Roman"/>
                <w:b/>
                <w:i w:val="0"/>
                <w:sz w:val="18"/>
              </w:rPr>
              <w:t>Curriculum</w:t>
            </w:r>
          </w:p>
        </w:tc>
        <w:tc>
          <w:tcPr>
            <w:tcW w:type="dxa" w:w="1134"/>
            <w:shd w:fill="D9E2F3" w:val="clear"/>
          </w:tcPr>
          <w:p>
            <w:pPr>
              <w:jc w:val="center"/>
              <w:spacing w:before="20" w:after="20"/>
            </w:pPr>
            <w:r/>
            <w:r>
              <w:rPr>
                <w:rFonts w:ascii="Times New Roman" w:hAnsi="Times New Roman" w:eastAsia="Times New Roman"/>
                <w:b/>
                <w:i w:val="0"/>
                <w:sz w:val="18"/>
              </w:rPr>
              <w:t>SECS Loss</w:t>
            </w:r>
          </w:p>
        </w:tc>
        <w:tc>
          <w:tcPr>
            <w:tcW w:type="dxa" w:w="850"/>
            <w:shd w:fill="D9E2F3" w:val="clear"/>
          </w:tcPr>
          <w:p>
            <w:pPr>
              <w:jc w:val="center"/>
              <w:spacing w:before="20" w:after="20"/>
            </w:pPr>
            <w:r/>
            <w:r>
              <w:rPr>
                <w:rFonts w:ascii="Times New Roman" w:hAnsi="Times New Roman" w:eastAsia="Times New Roman"/>
                <w:b/>
                <w:i w:val="0"/>
                <w:sz w:val="18"/>
              </w:rPr>
              <w:t>Loss</w:t>
            </w:r>
          </w:p>
        </w:tc>
        <w:tc>
          <w:tcPr>
            <w:tcW w:type="dxa" w:w="1020"/>
            <w:shd w:fill="D9E2F3" w:val="clear"/>
          </w:tcPr>
          <w:p>
            <w:pPr>
              <w:jc w:val="center"/>
              <w:spacing w:before="20" w:after="20"/>
            </w:pPr>
            <w:r/>
            <w:r>
              <w:rPr>
                <w:rFonts w:ascii="Times New Roman" w:hAnsi="Times New Roman" w:eastAsia="Times New Roman"/>
                <w:b/>
                <w:i w:val="0"/>
                <w:sz w:val="18"/>
              </w:rPr>
              <w:t>CB1 Acc</w:t>
            </w:r>
          </w:p>
        </w:tc>
        <w:tc>
          <w:tcPr>
            <w:tcW w:type="dxa" w:w="850"/>
            <w:shd w:fill="D9E2F3" w:val="clear"/>
          </w:tcPr>
          <w:p>
            <w:pPr>
              <w:jc w:val="center"/>
              <w:spacing w:before="20" w:after="20"/>
            </w:pPr>
            <w:r/>
            <w:r>
              <w:rPr>
                <w:rFonts w:ascii="Times New Roman" w:hAnsi="Times New Roman" w:eastAsia="Times New Roman"/>
                <w:b/>
                <w:i w:val="0"/>
                <w:sz w:val="18"/>
              </w:rPr>
              <w:t>SECS</w:t>
            </w:r>
          </w:p>
        </w:tc>
      </w:tr>
      <w:tr>
        <w:tc>
          <w:tcPr>
            <w:tcW w:type="dxa" w:w="1134"/>
          </w:tcPr>
          <w:p>
            <w:pPr>
              <w:jc w:val="center"/>
              <w:spacing w:before="15" w:after="15"/>
            </w:pPr>
            <w:r/>
            <w:r>
              <w:rPr>
                <w:rFonts w:ascii="Times New Roman" w:hAnsi="Times New Roman" w:eastAsia="Times New Roman"/>
                <w:b w:val="0"/>
                <w:i w:val="0"/>
                <w:sz w:val="18"/>
              </w:rPr>
              <w:t>A</w:t>
            </w:r>
          </w:p>
        </w:tc>
        <w:tc>
          <w:tcPr>
            <w:tcW w:type="dxa" w:w="1701"/>
          </w:tcPr>
          <w:p>
            <w:pPr>
              <w:jc w:val="center"/>
              <w:spacing w:before="15" w:after="15"/>
            </w:pPr>
            <w:r/>
            <w:r>
              <w:rPr>
                <w:rFonts w:ascii="Times New Roman" w:hAnsi="Times New Roman" w:eastAsia="Times New Roman"/>
                <w:b w:val="0"/>
                <w:i w:val="0"/>
                <w:sz w:val="18"/>
              </w:rPr>
              <w:t>No (fixed 50%)</w:t>
            </w:r>
          </w:p>
        </w:tc>
        <w:tc>
          <w:tcPr>
            <w:tcW w:type="dxa" w:w="1134"/>
          </w:tcPr>
          <w:p>
            <w:pPr>
              <w:jc w:val="center"/>
              <w:spacing w:before="15" w:after="15"/>
            </w:pPr>
            <w:r/>
            <w:r>
              <w:rPr>
                <w:rFonts w:ascii="Times New Roman" w:hAnsi="Times New Roman" w:eastAsia="Times New Roman"/>
                <w:b w:val="0"/>
                <w:i w:val="0"/>
                <w:sz w:val="18"/>
              </w:rPr>
              <w:t>No</w:t>
            </w:r>
          </w:p>
        </w:tc>
        <w:tc>
          <w:tcPr>
            <w:tcW w:type="dxa" w:w="850"/>
          </w:tcPr>
          <w:p>
            <w:pPr>
              <w:jc w:val="center"/>
              <w:spacing w:before="15" w:after="15"/>
            </w:pPr>
            <w:r/>
            <w:r>
              <w:rPr>
                <w:rFonts w:ascii="Times New Roman" w:hAnsi="Times New Roman" w:eastAsia="Times New Roman"/>
                <w:b w:val="0"/>
                <w:i w:val="0"/>
                <w:sz w:val="18"/>
              </w:rPr>
              <w:t>3.05</w:t>
            </w:r>
          </w:p>
        </w:tc>
        <w:tc>
          <w:tcPr>
            <w:tcW w:type="dxa" w:w="1020"/>
          </w:tcPr>
          <w:p>
            <w:pPr>
              <w:jc w:val="center"/>
              <w:spacing w:before="15" w:after="15"/>
            </w:pPr>
            <w:r/>
            <w:r>
              <w:rPr>
                <w:rFonts w:ascii="Times New Roman" w:hAnsi="Times New Roman" w:eastAsia="Times New Roman"/>
                <w:b w:val="0"/>
                <w:i w:val="0"/>
                <w:sz w:val="18"/>
              </w:rPr>
              <w:t>54%</w:t>
            </w:r>
          </w:p>
        </w:tc>
        <w:tc>
          <w:tcPr>
            <w:tcW w:type="dxa" w:w="850"/>
          </w:tcPr>
          <w:p>
            <w:pPr>
              <w:jc w:val="center"/>
              <w:spacing w:before="15" w:after="15"/>
            </w:pPr>
            <w:r/>
            <w:r>
              <w:rPr>
                <w:rFonts w:ascii="Times New Roman" w:hAnsi="Times New Roman" w:eastAsia="Times New Roman"/>
                <w:b w:val="0"/>
                <w:i w:val="0"/>
                <w:sz w:val="18"/>
              </w:rPr>
              <w:t>0.768</w:t>
            </w:r>
          </w:p>
        </w:tc>
      </w:tr>
      <w:tr>
        <w:tc>
          <w:tcPr>
            <w:tcW w:type="dxa" w:w="1134"/>
          </w:tcPr>
          <w:p>
            <w:pPr>
              <w:jc w:val="center"/>
              <w:spacing w:before="15" w:after="15"/>
            </w:pPr>
            <w:r/>
            <w:r>
              <w:rPr>
                <w:rFonts w:ascii="Times New Roman" w:hAnsi="Times New Roman" w:eastAsia="Times New Roman"/>
                <w:b w:val="0"/>
                <w:i w:val="0"/>
                <w:sz w:val="18"/>
              </w:rPr>
              <w:t>B</w:t>
            </w:r>
          </w:p>
        </w:tc>
        <w:tc>
          <w:tcPr>
            <w:tcW w:type="dxa" w:w="1701"/>
          </w:tcPr>
          <w:p>
            <w:pPr>
              <w:jc w:val="center"/>
              <w:spacing w:before="15" w:after="15"/>
            </w:pPr>
            <w:r/>
            <w:r>
              <w:rPr>
                <w:rFonts w:ascii="Times New Roman" w:hAnsi="Times New Roman" w:eastAsia="Times New Roman"/>
                <w:b w:val="0"/>
                <w:i w:val="0"/>
                <w:sz w:val="18"/>
              </w:rPr>
              <w:t>Yes (30-50-70%)</w:t>
            </w:r>
          </w:p>
        </w:tc>
        <w:tc>
          <w:tcPr>
            <w:tcW w:type="dxa" w:w="1134"/>
          </w:tcPr>
          <w:p>
            <w:pPr>
              <w:jc w:val="center"/>
              <w:spacing w:before="15" w:after="15"/>
            </w:pPr>
            <w:r/>
            <w:r>
              <w:rPr>
                <w:rFonts w:ascii="Times New Roman" w:hAnsi="Times New Roman" w:eastAsia="Times New Roman"/>
                <w:b w:val="0"/>
                <w:i w:val="0"/>
                <w:sz w:val="18"/>
              </w:rPr>
              <w:t>No</w:t>
            </w:r>
          </w:p>
        </w:tc>
        <w:tc>
          <w:tcPr>
            <w:tcW w:type="dxa" w:w="850"/>
          </w:tcPr>
          <w:p>
            <w:pPr>
              <w:jc w:val="center"/>
              <w:spacing w:before="15" w:after="15"/>
            </w:pPr>
            <w:r/>
            <w:r>
              <w:rPr>
                <w:rFonts w:ascii="Times New Roman" w:hAnsi="Times New Roman" w:eastAsia="Times New Roman"/>
                <w:b w:val="0"/>
                <w:i w:val="0"/>
                <w:sz w:val="18"/>
              </w:rPr>
              <w:t>2.76</w:t>
            </w:r>
          </w:p>
        </w:tc>
        <w:tc>
          <w:tcPr>
            <w:tcW w:type="dxa" w:w="1020"/>
          </w:tcPr>
          <w:p>
            <w:pPr>
              <w:jc w:val="center"/>
              <w:spacing w:before="15" w:after="15"/>
            </w:pPr>
            <w:r/>
            <w:r>
              <w:rPr>
                <w:rFonts w:ascii="Times New Roman" w:hAnsi="Times New Roman" w:eastAsia="Times New Roman"/>
                <w:b w:val="0"/>
                <w:i w:val="0"/>
                <w:sz w:val="18"/>
              </w:rPr>
              <w:t>57%</w:t>
            </w:r>
          </w:p>
        </w:tc>
        <w:tc>
          <w:tcPr>
            <w:tcW w:type="dxa" w:w="850"/>
          </w:tcPr>
          <w:p>
            <w:pPr>
              <w:jc w:val="center"/>
              <w:spacing w:before="15" w:after="15"/>
            </w:pPr>
            <w:r/>
            <w:r>
              <w:rPr>
                <w:rFonts w:ascii="Times New Roman" w:hAnsi="Times New Roman" w:eastAsia="Times New Roman"/>
                <w:b w:val="0"/>
                <w:i w:val="0"/>
                <w:sz w:val="18"/>
              </w:rPr>
              <w:t>0.772</w:t>
            </w:r>
          </w:p>
        </w:tc>
      </w:tr>
      <w:tr>
        <w:tc>
          <w:tcPr>
            <w:tcW w:type="dxa" w:w="1134"/>
          </w:tcPr>
          <w:p>
            <w:pPr>
              <w:jc w:val="center"/>
              <w:spacing w:before="15" w:after="15"/>
            </w:pPr>
            <w:r/>
            <w:r>
              <w:rPr>
                <w:rFonts w:ascii="Times New Roman" w:hAnsi="Times New Roman" w:eastAsia="Times New Roman"/>
                <w:b w:val="0"/>
                <w:i w:val="0"/>
                <w:sz w:val="18"/>
              </w:rPr>
              <w:t>C</w:t>
            </w:r>
          </w:p>
        </w:tc>
        <w:tc>
          <w:tcPr>
            <w:tcW w:type="dxa" w:w="1701"/>
          </w:tcPr>
          <w:p>
            <w:pPr>
              <w:jc w:val="center"/>
              <w:spacing w:before="15" w:after="15"/>
            </w:pPr>
            <w:r/>
            <w:r>
              <w:rPr>
                <w:rFonts w:ascii="Times New Roman" w:hAnsi="Times New Roman" w:eastAsia="Times New Roman"/>
                <w:b w:val="0"/>
                <w:i w:val="0"/>
                <w:sz w:val="18"/>
              </w:rPr>
              <w:t>No (fixed 50%)</w:t>
            </w:r>
          </w:p>
        </w:tc>
        <w:tc>
          <w:tcPr>
            <w:tcW w:type="dxa" w:w="1134"/>
          </w:tcPr>
          <w:p>
            <w:pPr>
              <w:jc w:val="center"/>
              <w:spacing w:before="15" w:after="15"/>
            </w:pPr>
            <w:r/>
            <w:r>
              <w:rPr>
                <w:rFonts w:ascii="Times New Roman" w:hAnsi="Times New Roman" w:eastAsia="Times New Roman"/>
                <w:b w:val="0"/>
                <w:i w:val="0"/>
                <w:sz w:val="18"/>
              </w:rPr>
              <w:t>Yes</w:t>
            </w:r>
          </w:p>
        </w:tc>
        <w:tc>
          <w:tcPr>
            <w:tcW w:type="dxa" w:w="850"/>
          </w:tcPr>
          <w:p>
            <w:pPr>
              <w:jc w:val="center"/>
              <w:spacing w:before="15" w:after="15"/>
            </w:pPr>
            <w:r/>
            <w:r>
              <w:rPr>
                <w:rFonts w:ascii="Times New Roman" w:hAnsi="Times New Roman" w:eastAsia="Times New Roman"/>
                <w:b w:val="0"/>
                <w:i w:val="0"/>
                <w:sz w:val="18"/>
              </w:rPr>
              <w:t>2.95</w:t>
            </w:r>
          </w:p>
        </w:tc>
        <w:tc>
          <w:tcPr>
            <w:tcW w:type="dxa" w:w="1020"/>
          </w:tcPr>
          <w:p>
            <w:pPr>
              <w:jc w:val="center"/>
              <w:spacing w:before="15" w:after="15"/>
            </w:pPr>
            <w:r/>
            <w:r>
              <w:rPr>
                <w:rFonts w:ascii="Times New Roman" w:hAnsi="Times New Roman" w:eastAsia="Times New Roman"/>
                <w:b w:val="0"/>
                <w:i w:val="0"/>
                <w:sz w:val="18"/>
              </w:rPr>
              <w:t>55%</w:t>
            </w:r>
          </w:p>
        </w:tc>
        <w:tc>
          <w:tcPr>
            <w:tcW w:type="dxa" w:w="850"/>
          </w:tcPr>
          <w:p>
            <w:pPr>
              <w:jc w:val="center"/>
              <w:spacing w:before="15" w:after="15"/>
            </w:pPr>
            <w:r/>
            <w:r>
              <w:rPr>
                <w:rFonts w:ascii="Times New Roman" w:hAnsi="Times New Roman" w:eastAsia="Times New Roman"/>
                <w:b w:val="0"/>
                <w:i w:val="0"/>
                <w:sz w:val="18"/>
              </w:rPr>
              <w:t>0.831</w:t>
            </w:r>
          </w:p>
        </w:tc>
      </w:tr>
      <w:tr>
        <w:tc>
          <w:tcPr>
            <w:tcW w:type="dxa" w:w="1134"/>
          </w:tcPr>
          <w:p>
            <w:pPr>
              <w:jc w:val="center"/>
              <w:spacing w:before="15" w:after="15"/>
            </w:pPr>
            <w:r/>
            <w:r>
              <w:rPr>
                <w:rFonts w:ascii="Times New Roman" w:hAnsi="Times New Roman" w:eastAsia="Times New Roman"/>
                <w:b w:val="0"/>
                <w:i w:val="0"/>
                <w:sz w:val="18"/>
              </w:rPr>
              <w:t>D (v5.6)</w:t>
            </w:r>
          </w:p>
        </w:tc>
        <w:tc>
          <w:tcPr>
            <w:tcW w:type="dxa" w:w="1701"/>
          </w:tcPr>
          <w:p>
            <w:pPr>
              <w:jc w:val="center"/>
              <w:spacing w:before="15" w:after="15"/>
            </w:pPr>
            <w:r/>
            <w:r>
              <w:rPr>
                <w:rFonts w:ascii="Times New Roman" w:hAnsi="Times New Roman" w:eastAsia="Times New Roman"/>
                <w:b w:val="0"/>
                <w:i w:val="0"/>
                <w:sz w:val="18"/>
              </w:rPr>
              <w:t>Yes (30-50-70%)</w:t>
            </w:r>
          </w:p>
        </w:tc>
        <w:tc>
          <w:tcPr>
            <w:tcW w:type="dxa" w:w="1134"/>
          </w:tcPr>
          <w:p>
            <w:pPr>
              <w:jc w:val="center"/>
              <w:spacing w:before="15" w:after="15"/>
            </w:pPr>
            <w:r/>
            <w:r>
              <w:rPr>
                <w:rFonts w:ascii="Times New Roman" w:hAnsi="Times New Roman" w:eastAsia="Times New Roman"/>
                <w:b w:val="0"/>
                <w:i w:val="0"/>
                <w:sz w:val="18"/>
              </w:rPr>
              <w:t>Yes</w:t>
            </w:r>
          </w:p>
        </w:tc>
        <w:tc>
          <w:tcPr>
            <w:tcW w:type="dxa" w:w="850"/>
          </w:tcPr>
          <w:p>
            <w:pPr>
              <w:jc w:val="center"/>
              <w:spacing w:before="15" w:after="15"/>
            </w:pPr>
            <w:r/>
            <w:r>
              <w:rPr>
                <w:rFonts w:ascii="Times New Roman" w:hAnsi="Times New Roman" w:eastAsia="Times New Roman"/>
                <w:b w:val="0"/>
                <w:i w:val="0"/>
                <w:sz w:val="18"/>
              </w:rPr>
              <w:t>2.68</w:t>
            </w:r>
          </w:p>
        </w:tc>
        <w:tc>
          <w:tcPr>
            <w:tcW w:type="dxa" w:w="1020"/>
          </w:tcPr>
          <w:p>
            <w:pPr>
              <w:jc w:val="center"/>
              <w:spacing w:before="15" w:after="15"/>
            </w:pPr>
            <w:r/>
            <w:r>
              <w:rPr>
                <w:rFonts w:ascii="Times New Roman" w:hAnsi="Times New Roman" w:eastAsia="Times New Roman"/>
                <w:b w:val="0"/>
                <w:i w:val="0"/>
                <w:sz w:val="18"/>
              </w:rPr>
              <w:t>58%</w:t>
            </w:r>
          </w:p>
        </w:tc>
        <w:tc>
          <w:tcPr>
            <w:tcW w:type="dxa" w:w="850"/>
          </w:tcPr>
          <w:p>
            <w:pPr>
              <w:jc w:val="center"/>
              <w:spacing w:before="15" w:after="15"/>
            </w:pPr>
            <w:r/>
            <w:r>
              <w:rPr>
                <w:rFonts w:ascii="Times New Roman" w:hAnsi="Times New Roman" w:eastAsia="Times New Roman"/>
                <w:b w:val="0"/>
                <w:i w:val="0"/>
                <w:sz w:val="18"/>
              </w:rPr>
              <w:t>0.842</w:t>
            </w:r>
          </w:p>
        </w:tc>
      </w:tr>
    </w:tbl>
    <w:p>
      <w:pPr>
        <w:jc w:val="both"/>
        <w:spacing w:before="0" w:after="60" w:line="152400" w:lineRule="exact"/>
      </w:pPr>
      <w:r>
        <w:rPr>
          <w:rFonts w:ascii="Times New Roman" w:hAnsi="Times New Roman" w:eastAsia="Times New Roman"/>
          <w:b w:val="0"/>
          <w:i w:val="0"/>
          <w:sz w:val="20"/>
        </w:rPr>
        <w:t>Comparing configurations A and B reveals that curriculum corruption alone improves CB1 accuracy by 3 percentage points (54% to 57%) and reduces the training loss from 3.05 to 2.76, while having minimal effect on speaker similarity (0.768 to 0.772). The progressive difficulty increase allows the model to learn more robust representations that generalize better to noisy inference conditions.</w:t>
      </w:r>
    </w:p>
    <w:p>
      <w:pPr>
        <w:jc w:val="both"/>
        <w:spacing w:before="0" w:after="60" w:line="152400" w:lineRule="exact"/>
      </w:pPr>
      <w:r>
        <w:rPr>
          <w:rFonts w:ascii="Times New Roman" w:hAnsi="Times New Roman" w:eastAsia="Times New Roman"/>
          <w:b w:val="0"/>
          <w:i w:val="0"/>
          <w:sz w:val="20"/>
        </w:rPr>
        <w:t>Comparing A and C shows that SECS loss alone substantially improves speaker similarity from 0.768 to 0.831 (+0.063) with a modest improvement in CB1 accuracy (54% to 55%). The full combination in configuration D achieves the best results across all metrics, demonstrating that curriculum corruption and SECS regularization address complementary aspects of the conversion quality: curriculum corruption primarily improves token prediction accuracy and output naturalness, while SECS loss specifically targets speaker identity preservation.</w:t>
      </w:r>
    </w:p>
    <w:p>
      <w:pPr>
        <w:jc w:val="left"/>
        <w:spacing w:before="120" w:after="60"/>
      </w:pPr>
      <w:r>
        <w:rPr>
          <w:rFonts w:ascii="Times New Roman" w:hAnsi="Times New Roman" w:eastAsia="Times New Roman"/>
          <w:b/>
          <w:i w:val="0"/>
          <w:sz w:val="20"/>
        </w:rPr>
        <w:t>4.6 Perceptual Evaluation</w:t>
      </w:r>
    </w:p>
    <w:p>
      <w:pPr>
        <w:jc w:val="both"/>
        <w:spacing w:before="0" w:after="60" w:line="152400" w:lineRule="exact"/>
      </w:pPr>
      <w:r>
        <w:rPr>
          <w:rFonts w:ascii="Times New Roman" w:hAnsi="Times New Roman" w:eastAsia="Times New Roman"/>
          <w:b w:val="0"/>
          <w:i w:val="0"/>
          <w:sz w:val="20"/>
        </w:rPr>
        <w:t>To complement the objective metrics, we conducted an informal AB preference test comparing CRT v5.6 against the FAISS baseline. Eight listeners, all graduate students familiar with speech processing, evaluated 10 pairs of converted utterances. For each pair, listeners indicated their preference along two dimensions: naturalness (smoothness of temporal transitions) and speaker similarity (closeness to the target speaker's voice).</w:t>
      </w:r>
    </w:p>
    <w:p>
      <w:pPr>
        <w:jc w:val="both"/>
        <w:spacing w:before="0" w:after="60" w:line="152400" w:lineRule="exact"/>
      </w:pPr>
      <w:r>
        <w:rPr>
          <w:rFonts w:ascii="Times New Roman" w:hAnsi="Times New Roman" w:eastAsia="Times New Roman"/>
          <w:b w:val="0"/>
          <w:i w:val="0"/>
          <w:sz w:val="20"/>
        </w:rPr>
        <w:t>For naturalness, the CRT output was preferred in 72% of comparisons, with listeners noting that the FAISS baseline exhibited audible frame-boundary discontinuities. For speaker similarity, the FAISS baseline was preferred in 85% of comparisons, consistent with the SECS gap between CRT (0.842) and FAISS (0.879). This confirms the complementary nature of the two systems: the CRT excels at naturalness but has not yet fully matched the speaker fidelity of direct retrieval. The SECS regularization in v5.6 partially addresses this gap.</w:t>
      </w:r>
    </w:p>
    <w:p>
      <w:pPr>
        <w:jc w:val="both"/>
        <w:spacing w:before="0" w:after="40" w:line="127000" w:lineRule="exact"/>
      </w:pPr>
      <w:r>
        <w:rPr>
          <w:rFonts w:ascii="Times New Roman" w:hAnsi="Times New Roman" w:eastAsia="Times New Roman"/>
          <w:b w:val="0"/>
          <w:i/>
          <w:sz w:val="16"/>
        </w:rPr>
        <w:t>Audio samples are available at [demo page URL — to be provided upon publication].</w:t>
      </w:r>
    </w:p>
    <w:p>
      <w:pPr>
        <w:jc w:val="left"/>
        <w:spacing w:before="120" w:after="60"/>
      </w:pPr>
      <w:r>
        <w:rPr>
          <w:rFonts w:ascii="Times New Roman" w:hAnsi="Times New Roman" w:eastAsia="Times New Roman"/>
          <w:b/>
          <w:i w:val="0"/>
          <w:sz w:val="20"/>
        </w:rPr>
        <w:t>4.7 Comparison with Published Methods</w:t>
      </w:r>
    </w:p>
    <w:p>
      <w:pPr>
        <w:jc w:val="both"/>
        <w:spacing w:before="0" w:after="60" w:line="152400" w:lineRule="exact"/>
      </w:pPr>
      <w:r>
        <w:rPr>
          <w:rFonts w:ascii="Times New Roman" w:hAnsi="Times New Roman" w:eastAsia="Times New Roman"/>
          <w:b w:val="0"/>
          <w:i w:val="0"/>
          <w:sz w:val="20"/>
        </w:rPr>
        <w:t>Table 4 places our results in the context of recent published voice conversion systems. We note that direct comparison is confounded by differences in codecs (Mimi vs. EnCodec vs. HuBERT features), training data, evaluation protocols, and test sets. We provide these numbers for context rather than claiming strict comparability.</w:t>
      </w:r>
    </w:p>
    <w:p>
      <w:pPr>
        <w:jc w:val="center"/>
        <w:spacing w:before="100" w:after="40"/>
      </w:pPr>
      <w:r>
        <w:rPr>
          <w:rFonts w:ascii="Times New Roman" w:hAnsi="Times New Roman" w:eastAsia="Times New Roman"/>
          <w:b w:val="0"/>
          <w:i w:val="0"/>
          <w:sz w:val="18"/>
        </w:rPr>
        <w:t>Table 4. Comparison with published voice conversion methods.</w:t>
      </w:r>
    </w:p>
    <w:tbl>
      <w:tblPr>
        <w:tblStyle w:val="TableGrid"/>
        <w:tblW w:type="auto" w:w="0"/>
        <w:jc w:val="center"/>
        <w:tblLook w:firstColumn="1" w:firstRow="1" w:lastColumn="0" w:lastRow="0" w:noHBand="0" w:noVBand="1" w:val="04A0"/>
      </w:tblPr>
      <w:tblGrid>
        <w:gridCol w:w="1945"/>
        <w:gridCol w:w="1945"/>
        <w:gridCol w:w="1945"/>
        <w:gridCol w:w="1945"/>
        <w:gridCol w:w="1945"/>
      </w:tblGrid>
      <w:tr>
        <w:tc>
          <w:tcPr>
            <w:tcW w:type="dxa" w:w="1701"/>
            <w:shd w:fill="D9E2F3" w:val="clear"/>
          </w:tcPr>
          <w:p>
            <w:pPr>
              <w:jc w:val="center"/>
              <w:spacing w:before="20" w:after="20"/>
            </w:pPr>
            <w:r/>
            <w:r>
              <w:rPr>
                <w:rFonts w:ascii="Times New Roman" w:hAnsi="Times New Roman" w:eastAsia="Times New Roman"/>
                <w:b/>
                <w:i w:val="0"/>
                <w:sz w:val="18"/>
              </w:rPr>
              <w:t>Method</w:t>
            </w:r>
          </w:p>
        </w:tc>
        <w:tc>
          <w:tcPr>
            <w:tcW w:type="dxa" w:w="1814"/>
            <w:shd w:fill="D9E2F3" w:val="clear"/>
          </w:tcPr>
          <w:p>
            <w:pPr>
              <w:jc w:val="center"/>
              <w:spacing w:before="20" w:after="20"/>
            </w:pPr>
            <w:r/>
            <w:r>
              <w:rPr>
                <w:rFonts w:ascii="Times New Roman" w:hAnsi="Times New Roman" w:eastAsia="Times New Roman"/>
                <w:b/>
                <w:i w:val="0"/>
                <w:sz w:val="18"/>
              </w:rPr>
              <w:t>Codec / Features</w:t>
            </w:r>
          </w:p>
        </w:tc>
        <w:tc>
          <w:tcPr>
            <w:tcW w:type="dxa" w:w="850"/>
            <w:shd w:fill="D9E2F3" w:val="clear"/>
          </w:tcPr>
          <w:p>
            <w:pPr>
              <w:jc w:val="center"/>
              <w:spacing w:before="20" w:after="20"/>
            </w:pPr>
            <w:r/>
            <w:r>
              <w:rPr>
                <w:rFonts w:ascii="Times New Roman" w:hAnsi="Times New Roman" w:eastAsia="Times New Roman"/>
                <w:b/>
                <w:i w:val="0"/>
                <w:sz w:val="18"/>
              </w:rPr>
              <w:t>SECS</w:t>
            </w:r>
          </w:p>
        </w:tc>
        <w:tc>
          <w:tcPr>
            <w:tcW w:type="dxa" w:w="1134"/>
            <w:shd w:fill="D9E2F3" w:val="clear"/>
          </w:tcPr>
          <w:p>
            <w:pPr>
              <w:jc w:val="center"/>
              <w:spacing w:before="20" w:after="20"/>
            </w:pPr>
            <w:r/>
            <w:r>
              <w:rPr>
                <w:rFonts w:ascii="Times New Roman" w:hAnsi="Times New Roman" w:eastAsia="Times New Roman"/>
                <w:b/>
                <w:i w:val="0"/>
                <w:sz w:val="18"/>
              </w:rPr>
              <w:t>MOS / Pref.</w:t>
            </w:r>
          </w:p>
        </w:tc>
        <w:tc>
          <w:tcPr>
            <w:tcW w:type="dxa" w:w="850"/>
            <w:shd w:fill="D9E2F3" w:val="clear"/>
          </w:tcPr>
          <w:p>
            <w:pPr>
              <w:jc w:val="center"/>
              <w:spacing w:before="20" w:after="20"/>
            </w:pPr>
            <w:r/>
            <w:r>
              <w:rPr>
                <w:rFonts w:ascii="Times New Roman" w:hAnsi="Times New Roman" w:eastAsia="Times New Roman"/>
                <w:b/>
                <w:i w:val="0"/>
                <w:sz w:val="18"/>
              </w:rPr>
              <w:t>WER</w:t>
            </w:r>
          </w:p>
        </w:tc>
      </w:tr>
      <w:tr>
        <w:tc>
          <w:tcPr>
            <w:tcW w:type="dxa" w:w="1701"/>
          </w:tcPr>
          <w:p>
            <w:pPr>
              <w:jc w:val="center"/>
              <w:spacing w:before="15" w:after="15"/>
            </w:pPr>
            <w:r/>
            <w:r>
              <w:rPr>
                <w:rFonts w:ascii="Times New Roman" w:hAnsi="Times New Roman" w:eastAsia="Times New Roman"/>
                <w:b w:val="0"/>
                <w:i w:val="0"/>
                <w:sz w:val="18"/>
              </w:rPr>
              <w:t>FreeVC [14]</w:t>
            </w:r>
          </w:p>
        </w:tc>
        <w:tc>
          <w:tcPr>
            <w:tcW w:type="dxa" w:w="1814"/>
          </w:tcPr>
          <w:p>
            <w:pPr>
              <w:jc w:val="center"/>
              <w:spacing w:before="15" w:after="15"/>
            </w:pPr>
            <w:r/>
            <w:r>
              <w:rPr>
                <w:rFonts w:ascii="Times New Roman" w:hAnsi="Times New Roman" w:eastAsia="Times New Roman"/>
                <w:b w:val="0"/>
                <w:i w:val="0"/>
                <w:sz w:val="18"/>
              </w:rPr>
              <w:t>WavLM + HiFi-GAN</w:t>
            </w:r>
          </w:p>
        </w:tc>
        <w:tc>
          <w:tcPr>
            <w:tcW w:type="dxa" w:w="850"/>
          </w:tcPr>
          <w:p>
            <w:pPr>
              <w:jc w:val="center"/>
              <w:spacing w:before="15" w:after="15"/>
            </w:pPr>
            <w:r/>
            <w:r>
              <w:rPr>
                <w:rFonts w:ascii="Times New Roman" w:hAnsi="Times New Roman" w:eastAsia="Times New Roman"/>
                <w:b w:val="0"/>
                <w:i w:val="0"/>
                <w:sz w:val="18"/>
              </w:rPr>
              <w:t>~0.82</w:t>
            </w:r>
          </w:p>
        </w:tc>
        <w:tc>
          <w:tcPr>
            <w:tcW w:type="dxa" w:w="1134"/>
          </w:tcPr>
          <w:p>
            <w:pPr>
              <w:jc w:val="center"/>
              <w:spacing w:before="15" w:after="15"/>
            </w:pPr>
            <w:r/>
            <w:r>
              <w:rPr>
                <w:rFonts w:ascii="Times New Roman" w:hAnsi="Times New Roman" w:eastAsia="Times New Roman"/>
                <w:b w:val="0"/>
                <w:i w:val="0"/>
                <w:sz w:val="18"/>
              </w:rPr>
              <w:t>~3.5</w:t>
            </w:r>
          </w:p>
        </w:tc>
        <w:tc>
          <w:tcPr>
            <w:tcW w:type="dxa" w:w="850"/>
          </w:tcPr>
          <w:p>
            <w:pPr>
              <w:jc w:val="center"/>
              <w:spacing w:before="15" w:after="15"/>
            </w:pPr>
            <w:r/>
            <w:r>
              <w:rPr>
                <w:rFonts w:ascii="Times New Roman" w:hAnsi="Times New Roman" w:eastAsia="Times New Roman"/>
                <w:b w:val="0"/>
                <w:i w:val="0"/>
                <w:sz w:val="18"/>
              </w:rPr>
              <w:t>—</w:t>
            </w:r>
          </w:p>
        </w:tc>
      </w:tr>
      <w:tr>
        <w:tc>
          <w:tcPr>
            <w:tcW w:type="dxa" w:w="1701"/>
          </w:tcPr>
          <w:p>
            <w:pPr>
              <w:jc w:val="center"/>
              <w:spacing w:before="15" w:after="15"/>
            </w:pPr>
            <w:r/>
            <w:r>
              <w:rPr>
                <w:rFonts w:ascii="Times New Roman" w:hAnsi="Times New Roman" w:eastAsia="Times New Roman"/>
                <w:b w:val="0"/>
                <w:i w:val="0"/>
                <w:sz w:val="18"/>
              </w:rPr>
              <w:t>Baade et al. [12]</w:t>
            </w:r>
          </w:p>
        </w:tc>
        <w:tc>
          <w:tcPr>
            <w:tcW w:type="dxa" w:w="1814"/>
          </w:tcPr>
          <w:p>
            <w:pPr>
              <w:jc w:val="center"/>
              <w:spacing w:before="15" w:after="15"/>
            </w:pPr>
            <w:r/>
            <w:r>
              <w:rPr>
                <w:rFonts w:ascii="Times New Roman" w:hAnsi="Times New Roman" w:eastAsia="Times New Roman"/>
                <w:b w:val="0"/>
                <w:i w:val="0"/>
                <w:sz w:val="18"/>
              </w:rPr>
              <w:t>EnCodec AR+NAR</w:t>
            </w:r>
          </w:p>
        </w:tc>
        <w:tc>
          <w:tcPr>
            <w:tcW w:type="dxa" w:w="850"/>
          </w:tcPr>
          <w:p>
            <w:pPr>
              <w:jc w:val="center"/>
              <w:spacing w:before="15" w:after="15"/>
            </w:pPr>
            <w:r/>
            <w:r>
              <w:rPr>
                <w:rFonts w:ascii="Times New Roman" w:hAnsi="Times New Roman" w:eastAsia="Times New Roman"/>
                <w:b w:val="0"/>
                <w:i w:val="0"/>
                <w:sz w:val="18"/>
              </w:rPr>
              <w:t>~0.85</w:t>
            </w:r>
          </w:p>
        </w:tc>
        <w:tc>
          <w:tcPr>
            <w:tcW w:type="dxa" w:w="1134"/>
          </w:tcPr>
          <w:p>
            <w:pPr>
              <w:jc w:val="center"/>
              <w:spacing w:before="15" w:after="15"/>
            </w:pPr>
            <w:r/>
            <w:r>
              <w:rPr>
                <w:rFonts w:ascii="Times New Roman" w:hAnsi="Times New Roman" w:eastAsia="Times New Roman"/>
                <w:b w:val="0"/>
                <w:i w:val="0"/>
                <w:sz w:val="18"/>
              </w:rPr>
              <w:t>—</w:t>
            </w:r>
          </w:p>
        </w:tc>
        <w:tc>
          <w:tcPr>
            <w:tcW w:type="dxa" w:w="850"/>
          </w:tcPr>
          <w:p>
            <w:pPr>
              <w:jc w:val="center"/>
              <w:spacing w:before="15" w:after="15"/>
            </w:pPr>
            <w:r/>
            <w:r>
              <w:rPr>
                <w:rFonts w:ascii="Times New Roman" w:hAnsi="Times New Roman" w:eastAsia="Times New Roman"/>
                <w:b w:val="0"/>
                <w:i w:val="0"/>
                <w:sz w:val="18"/>
              </w:rPr>
              <w:t>~12%</w:t>
            </w:r>
          </w:p>
        </w:tc>
      </w:tr>
      <w:tr>
        <w:tc>
          <w:tcPr>
            <w:tcW w:type="dxa" w:w="1701"/>
          </w:tcPr>
          <w:p>
            <w:pPr>
              <w:jc w:val="center"/>
              <w:spacing w:before="15" w:after="15"/>
            </w:pPr>
            <w:r/>
            <w:r>
              <w:rPr>
                <w:rFonts w:ascii="Times New Roman" w:hAnsi="Times New Roman" w:eastAsia="Times New Roman"/>
                <w:b w:val="0"/>
                <w:i w:val="0"/>
                <w:sz w:val="18"/>
              </w:rPr>
              <w:t>kNN-VC [13]</w:t>
            </w:r>
          </w:p>
        </w:tc>
        <w:tc>
          <w:tcPr>
            <w:tcW w:type="dxa" w:w="1814"/>
          </w:tcPr>
          <w:p>
            <w:pPr>
              <w:jc w:val="center"/>
              <w:spacing w:before="15" w:after="15"/>
            </w:pPr>
            <w:r/>
            <w:r>
              <w:rPr>
                <w:rFonts w:ascii="Times New Roman" w:hAnsi="Times New Roman" w:eastAsia="Times New Roman"/>
                <w:b w:val="0"/>
                <w:i w:val="0"/>
                <w:sz w:val="18"/>
              </w:rPr>
              <w:t>HuBERT + FAISS</w:t>
            </w:r>
          </w:p>
        </w:tc>
        <w:tc>
          <w:tcPr>
            <w:tcW w:type="dxa" w:w="850"/>
          </w:tcPr>
          <w:p>
            <w:pPr>
              <w:jc w:val="center"/>
              <w:spacing w:before="15" w:after="15"/>
            </w:pPr>
            <w:r/>
            <w:r>
              <w:rPr>
                <w:rFonts w:ascii="Times New Roman" w:hAnsi="Times New Roman" w:eastAsia="Times New Roman"/>
                <w:b w:val="0"/>
                <w:i w:val="0"/>
                <w:sz w:val="18"/>
              </w:rPr>
              <w:t>~0.80</w:t>
            </w:r>
          </w:p>
        </w:tc>
        <w:tc>
          <w:tcPr>
            <w:tcW w:type="dxa" w:w="1134"/>
          </w:tcPr>
          <w:p>
            <w:pPr>
              <w:jc w:val="center"/>
              <w:spacing w:before="15" w:after="15"/>
            </w:pPr>
            <w:r/>
            <w:r>
              <w:rPr>
                <w:rFonts w:ascii="Times New Roman" w:hAnsi="Times New Roman" w:eastAsia="Times New Roman"/>
                <w:b w:val="0"/>
                <w:i w:val="0"/>
                <w:sz w:val="18"/>
              </w:rPr>
              <w:t>~3.2</w:t>
            </w:r>
          </w:p>
        </w:tc>
        <w:tc>
          <w:tcPr>
            <w:tcW w:type="dxa" w:w="850"/>
          </w:tcPr>
          <w:p>
            <w:pPr>
              <w:jc w:val="center"/>
              <w:spacing w:before="15" w:after="15"/>
            </w:pPr>
            <w:r/>
            <w:r>
              <w:rPr>
                <w:rFonts w:ascii="Times New Roman" w:hAnsi="Times New Roman" w:eastAsia="Times New Roman"/>
                <w:b w:val="0"/>
                <w:i w:val="0"/>
                <w:sz w:val="18"/>
              </w:rPr>
              <w:t>—</w:t>
            </w:r>
          </w:p>
        </w:tc>
      </w:tr>
      <w:tr>
        <w:tc>
          <w:tcPr>
            <w:tcW w:type="dxa" w:w="1701"/>
          </w:tcPr>
          <w:p>
            <w:pPr>
              <w:jc w:val="center"/>
              <w:spacing w:before="15" w:after="15"/>
            </w:pPr>
            <w:r/>
            <w:r>
              <w:rPr>
                <w:rFonts w:ascii="Times New Roman" w:hAnsi="Times New Roman" w:eastAsia="Times New Roman"/>
                <w:b w:val="0"/>
                <w:i w:val="0"/>
                <w:sz w:val="18"/>
              </w:rPr>
              <w:t>CRT v5.6 (ours)</w:t>
            </w:r>
          </w:p>
        </w:tc>
        <w:tc>
          <w:tcPr>
            <w:tcW w:type="dxa" w:w="1814"/>
          </w:tcPr>
          <w:p>
            <w:pPr>
              <w:jc w:val="center"/>
              <w:spacing w:before="15" w:after="15"/>
            </w:pPr>
            <w:r/>
            <w:r>
              <w:rPr>
                <w:rFonts w:ascii="Times New Roman" w:hAnsi="Times New Roman" w:eastAsia="Times New Roman"/>
                <w:b w:val="0"/>
                <w:i w:val="0"/>
                <w:sz w:val="18"/>
              </w:rPr>
              <w:t>Mimi RVQ</w:t>
            </w:r>
          </w:p>
        </w:tc>
        <w:tc>
          <w:tcPr>
            <w:tcW w:type="dxa" w:w="850"/>
          </w:tcPr>
          <w:p>
            <w:pPr>
              <w:jc w:val="center"/>
              <w:spacing w:before="15" w:after="15"/>
            </w:pPr>
            <w:r/>
            <w:r>
              <w:rPr>
                <w:rFonts w:ascii="Times New Roman" w:hAnsi="Times New Roman" w:eastAsia="Times New Roman"/>
                <w:b w:val="0"/>
                <w:i w:val="0"/>
                <w:sz w:val="18"/>
              </w:rPr>
              <w:t>0.842</w:t>
            </w:r>
          </w:p>
        </w:tc>
        <w:tc>
          <w:tcPr>
            <w:tcW w:type="dxa" w:w="1134"/>
          </w:tcPr>
          <w:p>
            <w:pPr>
              <w:jc w:val="center"/>
              <w:spacing w:before="15" w:after="15"/>
            </w:pPr>
            <w:r/>
            <w:r>
              <w:rPr>
                <w:rFonts w:ascii="Times New Roman" w:hAnsi="Times New Roman" w:eastAsia="Times New Roman"/>
                <w:b w:val="0"/>
                <w:i w:val="0"/>
                <w:sz w:val="18"/>
              </w:rPr>
              <w:t>72% pref.</w:t>
            </w:r>
          </w:p>
        </w:tc>
        <w:tc>
          <w:tcPr>
            <w:tcW w:type="dxa" w:w="850"/>
          </w:tcPr>
          <w:p>
            <w:pPr>
              <w:jc w:val="center"/>
              <w:spacing w:before="15" w:after="15"/>
            </w:pPr>
            <w:r/>
            <w:r>
              <w:rPr>
                <w:rFonts w:ascii="Times New Roman" w:hAnsi="Times New Roman" w:eastAsia="Times New Roman"/>
                <w:b w:val="0"/>
                <w:i w:val="0"/>
                <w:sz w:val="18"/>
              </w:rPr>
              <w:t>14.9%</w:t>
            </w:r>
          </w:p>
        </w:tc>
      </w:tr>
    </w:tbl>
    <w:p>
      <w:pPr>
        <w:jc w:val="both"/>
        <w:spacing w:before="0" w:after="60" w:line="152400" w:lineRule="exact"/>
      </w:pPr>
      <w:r>
        <w:rPr>
          <w:rFonts w:ascii="Times New Roman" w:hAnsi="Times New Roman" w:eastAsia="Times New Roman"/>
          <w:b w:val="0"/>
          <w:i w:val="0"/>
          <w:sz w:val="20"/>
        </w:rPr>
        <w:t>Our CRT v5.6 achieves a SECS of 0.842, which falls between kNN-VC (approximately 0.80) and Baade et al. (approximately 0.85). The WER of 14.9% is higher than Baade et al.'s reported figure of approximately 12%, though this comparison is complicated by their use of EnCodec with a different tokenization granularity. These results suggest that the CRT approach is competitive with recent methods despite operating on a different codec and without autoregressive generation. The primary advantage of our approach lies in its non-autoregressive architecture, which enables constant-time inference with respect to sequence length.</w:t>
      </w:r>
    </w:p>
    <w:p>
      <w:pPr>
        <w:jc w:val="left"/>
        <w:spacing w:before="120" w:after="60"/>
      </w:pPr>
      <w:r>
        <w:rPr>
          <w:rFonts w:ascii="Times New Roman" w:hAnsi="Times New Roman" w:eastAsia="Times New Roman"/>
          <w:b/>
          <w:i w:val="0"/>
          <w:sz w:val="20"/>
        </w:rPr>
        <w:t>4.8 Failed Approaches</w:t>
      </w:r>
    </w:p>
    <w:p>
      <w:pPr>
        <w:jc w:val="both"/>
        <w:spacing w:before="0" w:after="60" w:line="152400" w:lineRule="exact"/>
      </w:pPr>
      <w:r>
        <w:rPr>
          <w:rFonts w:ascii="Times New Roman" w:hAnsi="Times New Roman" w:eastAsia="Times New Roman"/>
          <w:b w:val="0"/>
          <w:i w:val="0"/>
          <w:sz w:val="20"/>
        </w:rPr>
        <w:t>We document two negative results. First, torch.compile caused persistent memory fragmentation on A100 GPUs due to dynamic shapes in the codebook embedding pipeline. Second, a gated residual prediction variant (v5.5) that predicted corrections to FAISS tokens consistently underperformed direct prediction, as the learned gate collapsed to near-zero values, bypassing refinement.</w:t>
      </w:r>
    </w:p>
    <w:p>
      <w:pPr>
        <w:jc w:val="left"/>
        <w:spacing w:before="200" w:after="80"/>
      </w:pPr>
      <w:r>
        <w:rPr>
          <w:rFonts w:ascii="Times New Roman" w:hAnsi="Times New Roman" w:eastAsia="Times New Roman"/>
          <w:b/>
          <w:i w:val="0"/>
          <w:sz w:val="22"/>
        </w:rPr>
        <w:t>5. DISCUSSION</w:t>
      </w:r>
    </w:p>
    <w:p>
      <w:pPr>
        <w:jc w:val="both"/>
        <w:spacing w:before="0" w:after="60" w:line="152400" w:lineRule="exact"/>
      </w:pPr>
      <w:r>
        <w:rPr>
          <w:rFonts w:ascii="Times New Roman" w:hAnsi="Times New Roman" w:eastAsia="Times New Roman"/>
          <w:b w:val="0"/>
          <w:i w:val="0"/>
          <w:sz w:val="20"/>
        </w:rPr>
        <w:t>The development of the CRT system reveals several important insights for training large models on audio codec tasks. The curriculum corruption strategy emerges as the most impactful single contribution for improving token prediction quality: the ablation study shows a 3-point improvement in CB1 accuracy and a 10% reduction in training loss when comparing fixed-rate to curriculum-based corruption. This confirms that progressive difficulty scheduling is essential when the inference distribution (noisy FAISS retrieval) differs substantially from the clean training data.</w:t>
      </w:r>
    </w:p>
    <w:p>
      <w:pPr>
        <w:jc w:val="both"/>
        <w:spacing w:before="0" w:after="60" w:line="152400" w:lineRule="exact"/>
      </w:pPr>
      <w:r>
        <w:rPr>
          <w:rFonts w:ascii="Times New Roman" w:hAnsi="Times New Roman" w:eastAsia="Times New Roman"/>
          <w:b w:val="0"/>
          <w:i w:val="0"/>
          <w:sz w:val="20"/>
        </w:rPr>
        <w:t>The SECS regression initially observed in earlier CRT versions (v5.3.x) represented the most critical challenge. Despite achieving high token-level accuracy, the model produced outputs with lower speaker similarity than the FAISS baseline. This disconnect between token accuracy and perceptual speaker similarity motivated the introduction of the SECS regularization loss, which directly optimizes the metric of interest during training. The resulting v5.6 model recovers 64% of the SECS gap, demonstrating that auxiliary perceptual losses are necessary when discrete token accuracy alone does not guarantee perceptual quality.</w:t>
      </w:r>
    </w:p>
    <w:p>
      <w:pPr>
        <w:jc w:val="both"/>
        <w:spacing w:before="0" w:after="60" w:line="152400" w:lineRule="exact"/>
      </w:pPr>
      <w:r>
        <w:rPr>
          <w:rFonts w:ascii="Times New Roman" w:hAnsi="Times New Roman" w:eastAsia="Times New Roman"/>
          <w:b w:val="0"/>
          <w:i w:val="0"/>
          <w:sz w:val="20"/>
        </w:rPr>
        <w:t>Compared to published baselines, CRT is competitive despite different evaluation conditions. While autoregressive methods such as Baade et al. achieve slightly higher SECS, the non-autoregressive CRT enables constant-time inference suitable for latency-sensitive intelligent systems such as real-time voice anonymization or assistive communication.</w:t>
      </w:r>
    </w:p>
    <w:p>
      <w:pPr>
        <w:jc w:val="both"/>
        <w:spacing w:before="0" w:after="60" w:line="152400" w:lineRule="exact"/>
      </w:pPr>
      <w:r>
        <w:rPr>
          <w:rFonts w:ascii="Times New Roman" w:hAnsi="Times New Roman" w:eastAsia="Times New Roman"/>
          <w:b w:val="0"/>
          <w:i w:val="0"/>
          <w:sz w:val="20"/>
        </w:rPr>
        <w:t>Limitations include evaluation on a single source-target pair, a modest 80.4-hour dataset, and the absence of streaming or real-time evaluation. Broader evaluation protocols and data augmentation with LibriTTS-R are needed to establish generalizability.</w:t>
      </w:r>
    </w:p>
    <w:p>
      <w:pPr>
        <w:jc w:val="left"/>
        <w:spacing w:before="200" w:after="80"/>
      </w:pPr>
      <w:r>
        <w:rPr>
          <w:rFonts w:ascii="Times New Roman" w:hAnsi="Times New Roman" w:eastAsia="Times New Roman"/>
          <w:b/>
          <w:i w:val="0"/>
          <w:sz w:val="22"/>
        </w:rPr>
        <w:t>6. CONCLUSION</w:t>
      </w:r>
    </w:p>
    <w:p>
      <w:pPr>
        <w:jc w:val="both"/>
        <w:spacing w:before="0" w:after="60" w:line="152400" w:lineRule="exact"/>
      </w:pPr>
      <w:r>
        <w:rPr>
          <w:rFonts w:ascii="Times New Roman" w:hAnsi="Times New Roman" w:eastAsia="Times New Roman"/>
          <w:b w:val="0"/>
          <w:i w:val="0"/>
          <w:sz w:val="20"/>
        </w:rPr>
        <w:t>We have presented the Codebook Refinement Transformer, a non-autoregressive Conformer-based model for voice conversion that refines FAISS-retrieved neural codec tokens. The curriculum corruption training strategy, which progressively increases input corruption from 30% to 70% across three phases, enables the model to learn robust representations that generalize effectively to noisy inference conditions, yielding a 3-point improvement in codebook accuracy over fixed-rate training. The SECS regularization loss directly optimizes speaker identity preservation, recovering 64% of the speaker similarity gap relative to the FAISS baseline and achieving a final SECS of 0.842.</w:t>
      </w:r>
    </w:p>
    <w:p>
      <w:pPr>
        <w:jc w:val="both"/>
        <w:spacing w:before="0" w:after="60" w:line="152400" w:lineRule="exact"/>
      </w:pPr>
      <w:r>
        <w:rPr>
          <w:rFonts w:ascii="Times New Roman" w:hAnsi="Times New Roman" w:eastAsia="Times New Roman"/>
          <w:b w:val="0"/>
          <w:i w:val="0"/>
          <w:sz w:val="20"/>
        </w:rPr>
        <w:t>Perceptual evaluation confirms that CRT-converted speech is preferred over raw FAISS retrieval for naturalness in 72% of comparisons, while objective metrics show improved intelligibility with a WER of 14.9% compared to 18.2% for the baseline. Ablation experiments demonstrate that curriculum corruption and SECS loss provide complementary benefits: the former improves token prediction accuracy while the latter targets speaker similarity.</w:t>
      </w:r>
    </w:p>
    <w:p>
      <w:pPr>
        <w:jc w:val="both"/>
        <w:spacing w:before="0" w:after="60" w:line="152400" w:lineRule="exact"/>
      </w:pPr>
      <w:r>
        <w:rPr>
          <w:rFonts w:ascii="Times New Roman" w:hAnsi="Times New Roman" w:eastAsia="Times New Roman"/>
          <w:b w:val="0"/>
          <w:i w:val="0"/>
          <w:sz w:val="20"/>
        </w:rPr>
        <w:t>Future work will focus on three directions: expanding the training data with the LibriTTS-R corpus to add 904 additional hours of clean speech, investigating streaming inference architectures for real-time deployment, and exploring edge-optimized model variants for integration into IoT communication systems. The non-autoregressive architecture provides a strong foundation for efficient deployment in latency-sensitive intelligent audio processing applications.</w:t>
      </w:r>
    </w:p>
    <w:p>
      <w:pPr>
        <w:jc w:val="left"/>
        <w:spacing w:before="200" w:after="80"/>
      </w:pPr>
      <w:r>
        <w:rPr>
          <w:rFonts w:ascii="Times New Roman" w:hAnsi="Times New Roman" w:eastAsia="Times New Roman"/>
          <w:b/>
          <w:i w:val="0"/>
          <w:sz w:val="22"/>
        </w:rPr>
        <w:t>REFERENCES</w:t>
      </w:r>
    </w:p>
    <w:p>
      <w:pPr>
        <w:jc w:val="both"/>
        <w:spacing w:before="0" w:after="30" w:line="139700" w:lineRule="exact"/>
      </w:pPr>
      <w:r>
        <w:rPr>
          <w:rFonts w:ascii="Times New Roman" w:hAnsi="Times New Roman" w:eastAsia="Times New Roman"/>
          <w:b w:val="0"/>
          <w:i w:val="0"/>
          <w:sz w:val="18"/>
        </w:rPr>
        <w:t>[1] Defossez, A., Copet, J., Synnaeve, G. and Adi, Y., "High fidelity neural audio compression," arXiv preprint arXiv:2210.13438 (2022).</w:t>
      </w:r>
    </w:p>
    <w:p>
      <w:pPr>
        <w:jc w:val="both"/>
        <w:spacing w:before="0" w:after="30" w:line="139700" w:lineRule="exact"/>
      </w:pPr>
      <w:r>
        <w:rPr>
          <w:rFonts w:ascii="Times New Roman" w:hAnsi="Times New Roman" w:eastAsia="Times New Roman"/>
          <w:b w:val="0"/>
          <w:i w:val="0"/>
          <w:sz w:val="18"/>
        </w:rPr>
        <w:t>[2] Zeghidour, N., Luebs, A., Omran, A., Skoglund, J. and Tagliasacchi, M., "SoundStream: An end-to-end neural audio codec," IEEE/ACM Transactions on Audio, Speech, and Language Processing 29, 3592-3600 (2021).</w:t>
      </w:r>
    </w:p>
    <w:p>
      <w:pPr>
        <w:jc w:val="both"/>
        <w:spacing w:before="0" w:after="30" w:line="139700" w:lineRule="exact"/>
      </w:pPr>
      <w:r>
        <w:rPr>
          <w:rFonts w:ascii="Times New Roman" w:hAnsi="Times New Roman" w:eastAsia="Times New Roman"/>
          <w:b w:val="0"/>
          <w:i w:val="0"/>
          <w:sz w:val="18"/>
        </w:rPr>
        <w:t>[3] Kyutai, "Mimi: A neural audio codec with semantic and acoustic disentanglement," Technical Report (2024).</w:t>
      </w:r>
    </w:p>
    <w:p>
      <w:pPr>
        <w:jc w:val="both"/>
        <w:spacing w:before="0" w:after="30" w:line="139700" w:lineRule="exact"/>
      </w:pPr>
      <w:r>
        <w:rPr>
          <w:rFonts w:ascii="Times New Roman" w:hAnsi="Times New Roman" w:eastAsia="Times New Roman"/>
          <w:b w:val="0"/>
          <w:i w:val="0"/>
          <w:sz w:val="18"/>
        </w:rPr>
        <w:t>[4] Gulati, A., Qin, J., Chiu, C.-C., Parmar, N., Zhang, Y., Yu, J., Han, W., Wang, S., Zhang, Z., Wu, Y. and Pang, R., "Conformer: Convolution-augmented transformer for speech recognition," Proc. Interspeech, 5036-5040 (2020).</w:t>
      </w:r>
    </w:p>
    <w:p>
      <w:pPr>
        <w:jc w:val="both"/>
        <w:spacing w:before="0" w:after="30" w:line="139700" w:lineRule="exact"/>
      </w:pPr>
      <w:r>
        <w:rPr>
          <w:rFonts w:ascii="Times New Roman" w:hAnsi="Times New Roman" w:eastAsia="Times New Roman"/>
          <w:b w:val="0"/>
          <w:i w:val="0"/>
          <w:sz w:val="18"/>
        </w:rPr>
        <w:t>[5] Perez, E., Strub, F., de Vries, H., Dumoulin, V. and Courville, A., "FiLM: Visual reasoning with a general conditioning layer," Proc. AAAI Conference on Artificial Intelligence 32(1) (2018).</w:t>
      </w:r>
    </w:p>
    <w:p>
      <w:pPr>
        <w:jc w:val="both"/>
        <w:spacing w:before="0" w:after="30" w:line="139700" w:lineRule="exact"/>
      </w:pPr>
      <w:r>
        <w:rPr>
          <w:rFonts w:ascii="Times New Roman" w:hAnsi="Times New Roman" w:eastAsia="Times New Roman"/>
          <w:b w:val="0"/>
          <w:i w:val="0"/>
          <w:sz w:val="18"/>
        </w:rPr>
        <w:t>[6] Johnson, J., Douze, M. and Jegou, H., "Billion-scale similarity search with GPUs," IEEE Transactions on Big Data 7(3), 535-547 (2019).</w:t>
      </w:r>
    </w:p>
    <w:p>
      <w:pPr>
        <w:jc w:val="both"/>
        <w:spacing w:before="0" w:after="30" w:line="139700" w:lineRule="exact"/>
      </w:pPr>
      <w:r>
        <w:rPr>
          <w:rFonts w:ascii="Times New Roman" w:hAnsi="Times New Roman" w:eastAsia="Times New Roman"/>
          <w:b w:val="0"/>
          <w:i w:val="0"/>
          <w:sz w:val="18"/>
        </w:rPr>
        <w:t>[7] Wang, C., Chen, S., Wu, Y., Zhang, Z., Zhou, L., Liu, S., Chen, Z., Liu, Y., Wang, H., Li, J., He, L., Zhao, S. and Wei, F., "Neural codec language models are zero-shot text to speech synthesizers," arXiv preprint arXiv:2301.02111 (2023).</w:t>
      </w:r>
    </w:p>
    <w:p>
      <w:pPr>
        <w:jc w:val="both"/>
        <w:spacing w:before="0" w:after="30" w:line="139700" w:lineRule="exact"/>
      </w:pPr>
      <w:r>
        <w:rPr>
          <w:rFonts w:ascii="Times New Roman" w:hAnsi="Times New Roman" w:eastAsia="Times New Roman"/>
          <w:b w:val="0"/>
          <w:i w:val="0"/>
          <w:sz w:val="18"/>
        </w:rPr>
        <w:t>[8] Kaneko, T., Kameoka, H., Tanaka, K. and Hojo, N., "CycleGAN-VC2: Improved CycleGAN-based non-parallel voice conversion," Proc. ICASSP, 6820-6824 (2019).</w:t>
      </w:r>
    </w:p>
    <w:p>
      <w:pPr>
        <w:jc w:val="both"/>
        <w:spacing w:before="0" w:after="30" w:line="139700" w:lineRule="exact"/>
      </w:pPr>
      <w:r>
        <w:rPr>
          <w:rFonts w:ascii="Times New Roman" w:hAnsi="Times New Roman" w:eastAsia="Times New Roman"/>
          <w:b w:val="0"/>
          <w:i w:val="0"/>
          <w:sz w:val="18"/>
        </w:rPr>
        <w:t>[9] Lin, T.-Y., Goyal, P., Girshick, R., He, K. and Dollar, P., "Focal loss for dense object detection," Proc. IEEE International Conference on Computer Vision, 2980-2988 (2017).</w:t>
      </w:r>
    </w:p>
    <w:p>
      <w:pPr>
        <w:jc w:val="both"/>
        <w:spacing w:before="0" w:after="30" w:line="139700" w:lineRule="exact"/>
      </w:pPr>
      <w:r>
        <w:rPr>
          <w:rFonts w:ascii="Times New Roman" w:hAnsi="Times New Roman" w:eastAsia="Times New Roman"/>
          <w:b w:val="0"/>
          <w:i w:val="0"/>
          <w:sz w:val="18"/>
        </w:rPr>
        <w:t>[10] Wan, L., Wang, Q., Papir, A. and Moreno, I. L., "Generalized end-to-end loss for speaker verification," Proc. ICASSP, 4879-4883 (2018).</w:t>
      </w:r>
    </w:p>
    <w:p>
      <w:pPr>
        <w:jc w:val="both"/>
        <w:spacing w:before="0" w:after="30" w:line="139700" w:lineRule="exact"/>
      </w:pPr>
      <w:r>
        <w:rPr>
          <w:rFonts w:ascii="Times New Roman" w:hAnsi="Times New Roman" w:eastAsia="Times New Roman"/>
          <w:b w:val="0"/>
          <w:i w:val="0"/>
          <w:sz w:val="18"/>
        </w:rPr>
        <w:t>[11] Jia, Y., Zhang, Y., Weiss, R. J., Wang, Q., Shen, J., Ren, F., Chen, Z., Nguyen, P., Pang, R., Moreno, I. L. and Wu, Y., "Transfer learning from speaker verification to multispeaker text-to-speech synthesis," Proc. NeurIPS, 4480-4490 (2018).</w:t>
      </w:r>
    </w:p>
    <w:p>
      <w:pPr>
        <w:jc w:val="both"/>
        <w:spacing w:before="0" w:after="30" w:line="139700" w:lineRule="exact"/>
      </w:pPr>
      <w:r>
        <w:rPr>
          <w:rFonts w:ascii="Times New Roman" w:hAnsi="Times New Roman" w:eastAsia="Times New Roman"/>
          <w:b w:val="0"/>
          <w:i w:val="0"/>
          <w:sz w:val="18"/>
        </w:rPr>
        <w:t>[12] Baade, A., Peng, P. and Harwath, D., "Neural codec language models for disentangled and textless voice conversion," Proc. Interspeech (2024).</w:t>
      </w:r>
    </w:p>
    <w:p>
      <w:pPr>
        <w:jc w:val="both"/>
        <w:spacing w:before="0" w:after="30" w:line="139700" w:lineRule="exact"/>
      </w:pPr>
      <w:r>
        <w:rPr>
          <w:rFonts w:ascii="Times New Roman" w:hAnsi="Times New Roman" w:eastAsia="Times New Roman"/>
          <w:b w:val="0"/>
          <w:i w:val="0"/>
          <w:sz w:val="18"/>
        </w:rPr>
        <w:t>[13] van Niekerk, B., Baas, M.-A. and Kamper, H., "A comparison of discrete and soft speech units for improved voice conversion," Proc. Interspeech (2023).</w:t>
      </w:r>
    </w:p>
    <w:p>
      <w:pPr>
        <w:jc w:val="both"/>
        <w:spacing w:before="0" w:after="30" w:line="139700" w:lineRule="exact"/>
      </w:pPr>
      <w:r>
        <w:rPr>
          <w:rFonts w:ascii="Times New Roman" w:hAnsi="Times New Roman" w:eastAsia="Times New Roman"/>
          <w:b w:val="0"/>
          <w:i w:val="0"/>
          <w:sz w:val="18"/>
        </w:rPr>
        <w:t>[14] Li, J., Tu, W., and Xiao, L., "FreeVC: Towards high-quality text-free one-shot voice conversion," Proc. ICASSP (2023).</w:t>
      </w:r>
    </w:p>
    <w:p>
      <w:pPr>
        <w:jc w:val="both"/>
        <w:spacing w:before="0" w:after="30" w:line="139700" w:lineRule="exact"/>
      </w:pPr>
      <w:r>
        <w:rPr>
          <w:rFonts w:ascii="Times New Roman" w:hAnsi="Times New Roman" w:eastAsia="Times New Roman"/>
          <w:b w:val="0"/>
          <w:i w:val="0"/>
          <w:sz w:val="18"/>
        </w:rPr>
        <w:t>[15] Zhang, X., Zhang, D., Li, S., Zhou, Y. and Qin, X., "SpeechTokenizer: Unified speech tokenizer for speech language models," arXiv preprint arXiv:2308.16692 (2023).</w:t>
      </w:r>
    </w:p>
    <w:p>
      <w:pPr>
        <w:jc w:val="both"/>
        <w:spacing w:before="0" w:after="30" w:line="139700" w:lineRule="exact"/>
      </w:pPr>
      <w:r>
        <w:rPr>
          <w:rFonts w:ascii="Times New Roman" w:hAnsi="Times New Roman" w:eastAsia="Times New Roman"/>
          <w:b w:val="0"/>
          <w:i w:val="0"/>
          <w:sz w:val="18"/>
        </w:rPr>
        <w:t>[16] Bengio, Y., Louradour, J., Collobert, R. and Weston, J., "Curriculum learning," Proc. ICML, 41-48 (2009).</w:t>
      </w:r>
    </w:p>
    <w:sectPr w:rsidR="00FC693F" w:rsidRPr="0006063C" w:rsidSect="00034616">
      <w:headerReference w:type="default" r:id="rId9"/>
      <w:footerReference w:type="default" r:id="rId10"/>
      <w:pgSz w:w="11906" w:h="16838"/>
      <w:pgMar w:top="1440" w:right="1091" w:bottom="1800" w:left="1091"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