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6C"/>
          <w:sz w:val="40"/>
        </w:rPr>
        <w:t>Voice Conversion Using</w:t>
        <w:br/>
        <w:t>Codebook Refinement Transformer (CRT)</w:t>
      </w:r>
    </w:p>
    <w:p>
      <w:pPr>
        <w:jc w:val="center"/>
      </w:pPr>
      <w:r>
        <w:rPr>
          <w:i/>
          <w:color w:val="444444"/>
          <w:sz w:val="28"/>
        </w:rPr>
        <w:t>Experimental Report — March 21, 2026</w:t>
      </w:r>
    </w:p>
    <w:p/>
    <w:p>
      <w:pPr>
        <w:pStyle w:val="Heading1"/>
      </w:pPr>
      <w:r>
        <w:t>Abstract</w:t>
      </w:r>
    </w:p>
    <w:p>
      <w:pPr>
        <w:spacing w:after="160"/>
      </w:pPr>
      <w:r>
        <w:rPr>
          <w:sz w:val="22"/>
        </w:rPr>
        <w:t>Voice conversion (VC) is the task of transforming the vocal characteristics of a source speaker to those of a target speaker while preserving linguistic content. This report presents a three-stage pipeline: (1) the Mimi neural audio codec encodes both source and target audio into 32-level residual vector-quantised (RVQ) token streams; (2) a FAISS nearest-neighbour index retrieves the most phonetically similar target frames for each source frame using cosine similarity on codebook-0 (CB0) semantic embeddings with a temporal continuity penalty; and (3) a Codebook Refinement Transformer (CRT) — a 14-layer parallel Conformer conditioned on the target speaker embedding via Feature-wise Linear Modulation (FiLM) — predicts refined codebook tokens CB1–CB18 from the FAISS-retrieved codes. Two model sizes are evaluated: 250.7M parameters (d_model=768) and 419.5M parameters (d_model=1024). After 30,000 training steps on 2,338 speakers, the 1024-dim model achieves a final cross-entropy loss of 4.761 and CB1 frame accuracy of 40.5%. Speaker Encoder Cosine Similarity (SECS) to the target speaker is 0.765 and Mel-Cepstral Distortion (MCD) is 129.43. Notably, both models exhibit SECS regression relative to the raw FAISS baseline (0.879), indicating that CRT refinement improves acoustic smoothness but reduces speaker fidelity — a gap identified for future work via an explicit speaker similarity loss.</w:t>
      </w:r>
    </w:p>
    <w:p>
      <w:pPr>
        <w:pStyle w:val="Heading1"/>
      </w:pPr>
      <w:r>
        <w:t>1. Introduction</w:t>
      </w:r>
    </w:p>
    <w:p>
      <w:pPr>
        <w:spacing w:after="120"/>
      </w:pPr>
      <w:r>
        <w:rPr>
          <w:b w:val="0"/>
          <w:i w:val="0"/>
          <w:sz w:val="22"/>
        </w:rPr>
        <w:t>Voice conversion (VC) is a well-studied problem in speech processing with applications in speaker anonymisation, entertainment dubbing, and assistive technology. The core challenge is to transform the perceived speaker identity of an utterance — modifying timbre, prosodic tendencies, and acoustic texture — without altering the phonetic content or introducing perceptible artefacts.</w:t>
      </w:r>
    </w:p>
    <w:p>
      <w:pPr>
        <w:spacing w:after="120"/>
      </w:pPr>
      <w:r>
        <w:rPr>
          <w:b w:val="0"/>
          <w:i w:val="0"/>
          <w:sz w:val="22"/>
        </w:rPr>
        <w:t>The problem is difficult for three principal reasons. First, speaker identity is distributed across multiple acoustic layers: fundamental frequency, vocal tract resonances (formants), breathiness, and fine spectral texture. Second, naturalness is sensitive to temporal discontinuities introduced by frame-level substitution. Third, per-target-speaker training data is scarce, requiring any practical system to generalise from a modest corpus.</w:t>
      </w:r>
    </w:p>
    <w:p>
      <w:pPr>
        <w:spacing w:after="120"/>
      </w:pPr>
      <w:r>
        <w:rPr>
          <w:b w:val="0"/>
          <w:i w:val="0"/>
          <w:sz w:val="22"/>
        </w:rPr>
        <w:t>This work proposes a pipeline that leverages three components: (1) the Mimi neural audio codec, which factorises audio into a semantic codebook (CB0) and 31 acoustic codebooks (CB1–31) via residual vector quantisation (RVQ); (2) a FAISS nearest-neighbour index over CB0 embeddings for per-frame target retrieval; and (3) a Conformer-based Codebook Refinement Transformer (CRT) that non-autoregressively refines the acoustic codebooks CB1–CB18 conditioned on a target speaker embedding.</w:t>
      </w:r>
    </w:p>
    <w:p>
      <w:pPr>
        <w:spacing w:after="120"/>
      </w:pPr>
      <w:r>
        <w:rPr>
          <w:b w:val="0"/>
          <w:i w:val="0"/>
          <w:sz w:val="22"/>
        </w:rPr>
        <w:t>The primary contributions of this work are:</w:t>
      </w:r>
    </w:p>
    <w:p>
      <w:pPr>
        <w:pStyle w:val="ListBullet"/>
      </w:pPr>
      <w:r>
        <w:rPr>
          <w:sz w:val="22"/>
        </w:rPr>
        <w:t>A parallel (non-autoregressive) Conformer architecture for multi-codebook refinement.</w:t>
      </w:r>
    </w:p>
    <w:p>
      <w:pPr>
        <w:pStyle w:val="ListBullet"/>
      </w:pPr>
      <w:r>
        <w:rPr>
          <w:sz w:val="22"/>
        </w:rPr>
        <w:t>A FAISS-based corruption training strategy that simulates realistic retrieval noise.</w:t>
      </w:r>
    </w:p>
    <w:p>
      <w:pPr>
        <w:pStyle w:val="ListBullet"/>
      </w:pPr>
      <w:r>
        <w:rPr>
          <w:sz w:val="22"/>
        </w:rPr>
        <w:t>Systematic identification and resolution of training infrastructure bottlenecks on A100 hardware.</w:t>
      </w:r>
    </w:p>
    <w:p>
      <w:pPr>
        <w:pStyle w:val="ListBullet"/>
      </w:pPr>
      <w:r>
        <w:rPr>
          <w:sz w:val="22"/>
        </w:rPr>
        <w:t>Comparative evaluation of 250.7M and 419.5M parameter models across loss, accuracy, SECS, and MCD.</w:t>
      </w:r>
    </w:p>
    <w:p>
      <w:pPr>
        <w:pStyle w:val="Heading1"/>
      </w:pPr>
      <w:r>
        <w:t>2. Background</w:t>
      </w:r>
    </w:p>
    <w:p>
      <w:pPr>
        <w:pStyle w:val="Heading2"/>
      </w:pPr>
      <w:r>
        <w:t>2.1 Mimi Neural Audio Codec</w:t>
      </w:r>
    </w:p>
    <w:p>
      <w:pPr>
        <w:spacing w:after="120"/>
      </w:pPr>
      <w:r>
        <w:rPr>
          <w:b w:val="0"/>
          <w:i w:val="0"/>
          <w:sz w:val="22"/>
        </w:rPr>
        <w:t>Mimi is a neural audio codec based on Residual Vector Quantisation (RVQ). Audio at 24 kHz is encoded into a sequence of 32 discrete token streams, each with a codebook of size 2048. The codec operates at a frame rate of 12.5 Hz, meaning every 80 ms of audio produces one frame of 32 integers.</w:t>
      </w:r>
    </w:p>
    <w:p>
      <w:pPr>
        <w:pStyle w:val="ListBullet"/>
      </w:pPr>
      <w:r>
        <w:rPr>
          <w:sz w:val="22"/>
        </w:rPr>
        <w:t>CB0 (codebook 0): encodes semantic / phoneme-level content. Embeddings are 256-dimensional float vectors; the full embedding matrix has shape (2048, 256).</w:t>
      </w:r>
    </w:p>
    <w:p>
      <w:pPr>
        <w:pStyle w:val="ListBullet"/>
      </w:pPr>
      <w:r>
        <w:rPr>
          <w:sz w:val="22"/>
        </w:rPr>
        <w:t>CB1–CB31: encode progressively finer acoustic detail — timbre, pitch envelope, breathiness, and residual texture.</w:t>
      </w:r>
    </w:p>
    <w:p>
      <w:pPr>
        <w:pStyle w:val="ListBullet"/>
      </w:pPr>
      <w:r>
        <w:rPr>
          <w:sz w:val="22"/>
        </w:rPr>
        <w:t>The separation between CB0 (semantic) and CB1–31 (acoustic) is exploited by the pipeline: CB0 drives FAISS retrieval while CB1–18 are the prediction targets of the CRT.</w:t>
      </w:r>
    </w:p>
    <w:p>
      <w:pPr>
        <w:pStyle w:val="Heading2"/>
      </w:pPr>
      <w:r>
        <w:t>2.2 FAISS Similarity Search</w:t>
      </w:r>
    </w:p>
    <w:p>
      <w:pPr>
        <w:spacing w:after="120"/>
      </w:pPr>
      <w:r>
        <w:rPr>
          <w:b w:val="0"/>
          <w:i w:val="0"/>
          <w:sz w:val="22"/>
        </w:rPr>
        <w:t>Facebook AI Similarity Search (FAISS) provides efficient nearest-neighbour lookup over dense float vectors. The pipeline uses an IndexFlatIP (inner-product) index after L2 normalisation, which is equivalent to cosine similarity search. A per-speaker index is built once at training startup from all target speaker frames.</w:t>
      </w:r>
    </w:p>
    <w:p>
      <w:pPr>
        <w:spacing w:before="80" w:after="80"/>
        <w:ind w:left="288"/>
        <w:shd w:val="clear" w:color="auto" w:fill="F2F2F2"/>
      </w:pPr>
      <w:r>
        <w:rPr>
          <w:rFonts w:ascii="Courier New" w:hAnsi="Courier New"/>
          <w:color w:val="1F1F1F"/>
          <w:sz w:val="16"/>
        </w:rPr>
        <w:t>SOURCE AUDIO                    TARGET SPEAKER INDEX</w:t>
        <w:br/>
        <w:t>─────────────                   ──────────────────────────────────</w:t>
        <w:br/>
        <w:t>Mimi encode                     Built once at training start:</w:t>
        <w:br/>
        <w:t xml:space="preserve">     │                            for each target speaker frame:</w:t>
        <w:br/>
        <w:t>src_CB0 [T] integers               emb = cb0_emb[CB0_token]</w:t>
        <w:br/>
        <w:t xml:space="preserve">     │                             faiss.normalize_L2(emb)</w:t>
        <w:br/>
        <w:t xml:space="preserve">     │                             index.add(emb)  ← IndexFlatIP</w:t>
        <w:br/>
        <w:t xml:space="preserve">     │</w:t>
        <w:br/>
        <w:t>for each frame t:</w:t>
        <w:br/>
        <w:t xml:space="preserve">  query = cb0_emb[src_CB0[t]]   ← float vector [256]</w:t>
        <w:br/>
        <w:t xml:space="preserve">  normalize(query)</w:t>
        <w:br/>
        <w:t xml:space="preserve">       │</w:t>
        <w:br/>
        <w:t xml:space="preserve">       ▼</w:t>
        <w:br/>
        <w:t xml:space="preserve">  index.search(query, k=8)      ← 8 nearest target frames</w:t>
        <w:br/>
        <w:t xml:space="preserve">       │</w:t>
        <w:br/>
        <w:t xml:space="preserve">  continuity score:</w:t>
        <w:br/>
        <w:t xml:space="preserve">    0.5 * dist + 0.5 / (1 + |cand - prev| / 12.5)</w:t>
        <w:br/>
        <w:t xml:space="preserve">       │</w:t>
        <w:br/>
        <w:t xml:space="preserve">  ret_CB0[t]    = target_CB0[selected_frame]</w:t>
        <w:br/>
        <w:t xml:space="preserve">  ret_CB1-18[t] = target_CB1-18[selected_frame]</w:t>
      </w:r>
    </w:p>
    <w:p>
      <w:pPr>
        <w:spacing w:after="120"/>
      </w:pPr>
      <w:r>
        <w:rPr>
          <w:b w:val="0"/>
          <w:i w:val="0"/>
          <w:sz w:val="22"/>
        </w:rPr>
        <w:t>Cosine similarity (implemented as inner product after L2 normalisation) is preferred over Euclidean distance because CB0 embeddings occupy a hypersphere where angular distance better reflects phonetic similarity. The continuity penalty is a convex combination of the cosine score and a temporal proximity term that penalises large jumps in frame index, suppressing jitter in the retrieved sequence. With 2,338 speakers and per-speaker indices, memory consumption is bounded and lookup is O(N) per query but parallelised across 8 CPU threads.</w:t>
      </w:r>
    </w:p>
    <w:p>
      <w:pPr>
        <w:pStyle w:val="Heading2"/>
      </w:pPr>
      <w:r>
        <w:t>2.3 Conformer vs Transformer</w:t>
      </w:r>
    </w:p>
    <w:p>
      <w:pPr>
        <w:spacing w:after="120"/>
      </w:pPr>
      <w:r>
        <w:rPr>
          <w:b w:val="0"/>
          <w:i w:val="0"/>
          <w:sz w:val="22"/>
        </w:rPr>
        <w:t>The standard Transformer block applies self-attention followed by a feed-forward network with residual connections and layer normalisation. The Conformer (Conformer: Convolution-augmented Transformer) augments this with a depthwise separable convolution module and adopts a Macaron-style sandwich structure where feed-forward modules bracket the attention and convolution layers, each with a half-residual weight of 0.5.</w:t>
      </w:r>
    </w:p>
    <w:p>
      <w:pPr>
        <w:spacing w:before="80" w:after="80"/>
        <w:ind w:left="288"/>
        <w:shd w:val="clear" w:color="auto" w:fill="F2F2F2"/>
      </w:pPr>
      <w:r>
        <w:rPr>
          <w:rFonts w:ascii="Courier New" w:hAnsi="Courier New"/>
          <w:color w:val="1F1F1F"/>
          <w:sz w:val="16"/>
        </w:rPr>
        <w:t>TRANSFORMER BLOCK          CONFORMER BLOCK (Macaron)</w:t>
        <w:br/>
        <w:t>──────────────────         ────────────────────────────────</w:t>
        <w:br/>
        <w:t xml:space="preserve">                           ┌─────────────────────────┐</w:t>
        <w:br/>
        <w:t xml:space="preserve">                           │  FFN₁  (½ residual)     │</w:t>
        <w:br/>
        <w:t xml:space="preserve">                           └───────────┬─────────────┘</w:t>
        <w:br/>
        <w:t>LN → Self-Attention → (+)              │</w:t>
        <w:br/>
        <w:t xml:space="preserve">                           ┌───────────▼─────────────┐</w:t>
        <w:br/>
        <w:t xml:space="preserve">                           │  LN → Self-Attention    │</w:t>
        <w:br/>
        <w:t xml:space="preserve">                           │       (+) residual      │</w:t>
        <w:br/>
        <w:t>LN → FFN → (+)             └───────────┬─────────────┘</w:t>
        <w:br/>
        <w:t xml:space="preserve">                           ┌───────────▼─────────────┐</w:t>
        <w:br/>
        <w:t xml:space="preserve">                           │  LN → DepthwiseConv1d   │</w:t>
        <w:br/>
        <w:t xml:space="preserve">                           │  kernel=31 (2.48s ctx)  │</w:t>
        <w:br/>
        <w:t xml:space="preserve">                           │       (+) residual      │</w:t>
        <w:br/>
        <w:t xml:space="preserve">                           └───────────┬─────────────┘</w:t>
        <w:br/>
        <w:t xml:space="preserve">                           ┌───────────▼─────────────┐</w:t>
        <w:br/>
        <w:t xml:space="preserve">                           │  FFN₂  (½ residual)     │</w:t>
        <w:br/>
        <w:t xml:space="preserve">                           └───────────┬─────────────┘</w:t>
        <w:br/>
        <w:t xml:space="preserve">                                  Final LN</w:t>
      </w:r>
    </w:p>
    <w:p>
      <w:pPr>
        <w:spacing w:after="120"/>
      </w:pPr>
      <w:r>
        <w:rPr>
          <w:b w:val="0"/>
          <w:i w:val="0"/>
          <w:sz w:val="22"/>
        </w:rPr>
        <w:t>The depthwise convolution with kernel size 31 provides a local receptive field of 31 frames × 80 ms/frame = 2.48 seconds, capturing coarticulation and short-term prosodic patterns that global attention misses at short sequence lengths. The combination of global attention and local convolution makes the Conformer particularly well-suited for sequence-to-sequence acoustic modelling tasks.</w:t>
      </w:r>
    </w:p>
    <w:p>
      <w:pPr>
        <w:pStyle w:val="Heading1"/>
      </w:pPr>
      <w:r>
        <w:t>3. CRT Architecture</w:t>
      </w:r>
    </w:p>
    <w:p>
      <w:pPr>
        <w:pStyle w:val="Heading2"/>
      </w:pPr>
      <w:r>
        <w:t>3.1 Overall Architecture</w:t>
      </w:r>
    </w:p>
    <w:p>
      <w:pPr>
        <w:spacing w:after="120"/>
      </w:pPr>
      <w:r>
        <w:rPr>
          <w:b w:val="0"/>
          <w:i w:val="0"/>
          <w:sz w:val="22"/>
        </w:rPr>
        <w:t>The CRT takes as input the FAISS-retrieved codebook token sequences for CB0–CB18 and a target speaker embedding of dimension 256. It outputs logits over 2048 classes for each of CB1–CB18 at every frame position, enabling parallel (non-autoregressive) decoding in a single forward pass.</w:t>
      </w:r>
    </w:p>
    <w:p>
      <w:pPr>
        <w:spacing w:before="80" w:after="80"/>
        <w:ind w:left="288"/>
        <w:shd w:val="clear" w:color="auto" w:fill="F2F2F2"/>
      </w:pPr>
      <w:r>
        <w:rPr>
          <w:rFonts w:ascii="Courier New" w:hAnsi="Courier New"/>
          <w:color w:val="1F1F1F"/>
          <w:sz w:val="16"/>
        </w:rPr>
        <w:t>INPUT PREPARATION</w:t>
        <w:br/>
        <w:t>─────────────────────────────────────────────────────────────</w:t>
        <w:br/>
        <w:t>ret_CB0    [B, T]     ─── Embedding(2048, d_model) ──┐</w:t>
        <w:br/>
        <w:t>ret_CB1    [B, T]     ─── Embedding(2048, d_model) ──┤</w:t>
        <w:br/>
        <w:t>ret_CB2    [B, T]     ─── Embedding(2048, d_model) ──┤</w:t>
        <w:br/>
        <w:t>...                                                   │  Sum</w:t>
        <w:br/>
        <w:t>ret_CB18   [B, T]     ─── Embedding(2048, d_model) ──┤</w:t>
        <w:br/>
        <w:t xml:space="preserve">                                                      │</w:t>
        <w:br/>
        <w:t>pos_encoding [B,T,d]  ───────────────────────────────┘</w:t>
        <w:br/>
        <w:t xml:space="preserve">                                │</w:t>
        <w:br/>
        <w:t xml:space="preserve">                         x [B, T, d_model]</w:t>
        <w:br/>
        <w:t xml:space="preserve">                                │</w:t>
        <w:br/>
        <w:t>SPEAKER CONDITIONING (FiLM)</w:t>
        <w:br/>
        <w:t>─────────────────────────────────────────────────────────────</w:t>
        <w:br/>
        <w:t>spk_emb [B, 256]</w:t>
        <w:br/>
        <w:t xml:space="preserve">    │</w:t>
        <w:br/>
        <w:t>Linear(256 → 2*d_model)</w:t>
        <w:br/>
        <w:t xml:space="preserve">    │</w:t>
        <w:br/>
        <w:t xml:space="preserve">   split</w:t>
        <w:br/>
        <w:t xml:space="preserve">    ├── γ [B, d_model]   (scale)</w:t>
        <w:br/>
        <w:t xml:space="preserve">    └── β [B, d_model]   (shift)</w:t>
        <w:br/>
        <w:t xml:space="preserve">    │</w:t>
        <w:br/>
        <w:t>x = γ * x + β           ← applied before conformer stack</w:t>
        <w:br/>
        <w:br/>
        <w:t>CONFORMER STACK  (×14 layers)</w:t>
        <w:br/>
        <w:t>─────────────────────────────────────────────────────────────</w:t>
        <w:br/>
        <w:t>For each layer i = 0..13:</w:t>
        <w:br/>
        <w:t xml:space="preserve">  x = x + 0.5 * FFN₁(LN(x))</w:t>
        <w:br/>
        <w:t xml:space="preserve">  x = x + MultiHeadAttention(LN(x))    heads=12 or 16</w:t>
        <w:br/>
        <w:t xml:space="preserve">  x = x + DepthwiseConv1d(LN(x), k=31)</w:t>
        <w:br/>
        <w:t xml:space="preserve">  x = x + 0.5 * FFN₂(LN(x))</w:t>
        <w:br/>
        <w:t xml:space="preserve">  x = LayerNorm(x)</w:t>
        <w:br/>
        <w:br/>
        <w:t>OUTPUT HEADS  (parallel, non-autoregressive)</w:t>
        <w:br/>
        <w:t>─────────────────────────────────────────────────────────────</w:t>
        <w:br/>
        <w:t>x [B, T, d_model]</w:t>
        <w:br/>
        <w:t xml:space="preserve">    │</w:t>
        <w:br/>
        <w:t xml:space="preserve">    ├── Linear(d_model → 2048) → logits_CB1  [B, T, 2048]</w:t>
        <w:br/>
        <w:t xml:space="preserve">    ├── Linear(d_model → 2048) → logits_CB2  [B, T, 2048]</w:t>
        <w:br/>
        <w:t xml:space="preserve">    ├── ...</w:t>
        <w:br/>
        <w:t xml:space="preserve">    └── Linear(d_model → 2048) → logits_CB18 [B, T, 2048]</w:t>
        <w:br/>
        <w:t xml:space="preserve">    │</w:t>
        <w:br/>
        <w:t>CrossEntropyLoss(logits_CBi, target_CBi)   ← focal variant</w:t>
      </w:r>
    </w:p>
    <w:p>
      <w:pPr>
        <w:pStyle w:val="Heading2"/>
      </w:pPr>
      <w:r>
        <w:t>3.2 FiLM Conditioning</w:t>
      </w:r>
    </w:p>
    <w:p>
      <w:pPr>
        <w:spacing w:after="120"/>
      </w:pPr>
      <w:r>
        <w:rPr>
          <w:b w:val="0"/>
          <w:i w:val="0"/>
          <w:sz w:val="22"/>
        </w:rPr>
        <w:t>Feature-wise Linear Modulation (FiLM) is a conditional normalisation technique that modulates intermediate feature maps using learned affine parameters derived from a conditioning signal. Given a target speaker embedding s ∈ ℝ²⁵⁶, a linear projection produces scale γ ∈ ℝ^d_model and shift β ∈ ℝ^d_model. The modulation is applied as:</w:t>
      </w:r>
    </w:p>
    <w:p>
      <w:pPr>
        <w:spacing w:after="120"/>
      </w:pPr>
      <w:r>
        <w:rPr>
          <w:b w:val="0"/>
          <w:i w:val="0"/>
          <w:sz w:val="22"/>
        </w:rPr>
        <w:t xml:space="preserve">    x = γ ⊙ x + β</w:t>
      </w:r>
    </w:p>
    <w:p>
      <w:pPr>
        <w:spacing w:after="120"/>
      </w:pPr>
      <w:r>
        <w:rPr>
          <w:b w:val="0"/>
          <w:i w:val="0"/>
          <w:sz w:val="22"/>
        </w:rPr>
        <w:t>where ⊙ denotes element-wise multiplication. This affine transform is applied once before the Conformer stack, injecting speaker identity into all subsequent layer computations without requiring separate model weights per speaker. The single learned FiLM layer is sufficient because the speaker embedding already encodes a rich representation of vocal characteristics.</w:t>
      </w:r>
    </w:p>
    <w:p>
      <w:pPr>
        <w:pStyle w:val="Heading2"/>
      </w:pPr>
      <w:r>
        <w:t>3.3 Training Objective</w:t>
      </w:r>
    </w:p>
    <w:p>
      <w:pPr>
        <w:spacing w:after="120"/>
      </w:pPr>
      <w:r>
        <w:rPr>
          <w:b w:val="0"/>
          <w:i w:val="0"/>
          <w:sz w:val="22"/>
        </w:rPr>
        <w:t>The CRT is trained with focal cross-entropy loss, a variant of standard cross-entropy that down-weights well-classified examples via a modulation factor (1 − p_t)^γ where γ = 1.0. This focuses learning on hard frames where the model is uncertain, which is particularly beneficial for higher codebook indices (CB10–CB18) that carry fine acoustic detail.</w:t>
      </w:r>
    </w:p>
    <w:p>
      <w:pPr>
        <w:pStyle w:val="ListBullet"/>
      </w:pPr>
      <w:r>
        <w:rPr>
          <w:sz w:val="22"/>
        </w:rPr>
        <w:t>Loss is averaged over all 18 output heads (CB1–CB18) and all T frame positions per batch.</w:t>
      </w:r>
    </w:p>
    <w:p>
      <w:pPr>
        <w:pStyle w:val="ListBullet"/>
      </w:pPr>
      <w:r>
        <w:rPr>
          <w:sz w:val="22"/>
        </w:rPr>
        <w:t>The accuracy metric reports the percentage of frames where argmax(logits_CBi) matches the ground-truth target_CBi token, computed per codebook index.</w:t>
      </w:r>
    </w:p>
    <w:p>
      <w:pPr>
        <w:pStyle w:val="ListBullet"/>
      </w:pPr>
      <w:r>
        <w:rPr>
          <w:sz w:val="22"/>
        </w:rPr>
        <w:t>Corruption training: at each step, 50% of retrieved codebook tokens are randomly replaced with tokens from other positions in the target speaker's index, simulating retrieval errors and improving model robustness.</w:t>
      </w:r>
    </w:p>
    <w:p>
      <w:pPr>
        <w:pStyle w:val="Heading1"/>
      </w:pPr>
      <w:r>
        <w:t>4. Experiments</w:t>
      </w:r>
    </w:p>
    <w:p>
      <w:pPr>
        <w:pStyle w:val="Heading2"/>
      </w:pPr>
      <w:r>
        <w:t>4.1 Dataset and Setup</w:t>
      </w:r>
    </w:p>
    <w:p>
      <w:pPr>
        <w:pStyle w:val="ListBullet"/>
      </w:pPr>
      <w:r>
        <w:rPr>
          <w:sz w:val="22"/>
        </w:rPr>
        <w:t>2,338 speakers loaded from V4 processed cache (large-scale multi-speaker dataset).</w:t>
      </w:r>
    </w:p>
    <w:p>
      <w:pPr>
        <w:pStyle w:val="ListBullet"/>
      </w:pPr>
      <w:r>
        <w:rPr>
          <w:sz w:val="22"/>
        </w:rPr>
        <w:t>Source audio: source.mp3, duration 4.2 s = 52 frames at 12.5 Hz.</w:t>
      </w:r>
    </w:p>
    <w:p>
      <w:pPr>
        <w:pStyle w:val="ListBullet"/>
      </w:pPr>
      <w:r>
        <w:rPr>
          <w:sz w:val="22"/>
        </w:rPr>
        <w:t>Cluster: SLURM-managed HPC cluster, single NVIDIA A100-SXM4-80GB GPU (85.1 GB VRAM).</w:t>
      </w:r>
    </w:p>
    <w:p>
      <w:pPr>
        <w:pStyle w:val="ListBullet"/>
      </w:pPr>
      <w:r>
        <w:rPr>
          <w:sz w:val="22"/>
        </w:rPr>
        <w:t>Framework: PyTorch with mixed-precision training (AMP), Mimi codec, FAISS CPU index.</w:t>
      </w:r>
    </w:p>
    <w:p>
      <w:pPr>
        <w:pStyle w:val="ListBullet"/>
      </w:pPr>
      <w:r>
        <w:rPr>
          <w:sz w:val="22"/>
        </w:rPr>
        <w:t>Optimiser: AdamW with cosine LR schedule.</w:t>
      </w:r>
    </w:p>
    <w:p>
      <w:pPr>
        <w:pStyle w:val="Heading2"/>
      </w:pPr>
      <w:r>
        <w:t>4.2 Training Infrastructure Evolution</w:t>
      </w:r>
    </w:p>
    <w:p>
      <w:pPr>
        <w:spacing w:after="120"/>
      </w:pPr>
      <w:r>
        <w:rPr>
          <w:b w:val="0"/>
          <w:i w:val="0"/>
          <w:sz w:val="22"/>
        </w:rPr>
        <w:t>The following engineering problems were identified and resolved during training, each materially affecting throughput and correctness.</w:t>
      </w:r>
    </w:p>
    <w:p>
      <w:pPr>
        <w:pStyle w:val="Heading3"/>
      </w:pPr>
      <w:r>
        <w:t>Problem 1: Low GPU Utilisation (3–5%)</w:t>
      </w:r>
    </w:p>
    <w:p>
      <w:pPr>
        <w:spacing w:after="120"/>
      </w:pPr>
      <w:r>
        <w:rPr>
          <w:b w:val="0"/>
          <w:i w:val="0"/>
          <w:sz w:val="22"/>
        </w:rPr>
        <w:t>Root cause: Sequential FAISS CPU data loading on the main thread blocked GPU compute. The GPU was idle while the CPU performed nearest-neighbour search.</w:t>
      </w:r>
    </w:p>
    <w:p>
      <w:pPr>
        <w:spacing w:after="120"/>
      </w:pPr>
      <w:r>
        <w:rPr>
          <w:b w:val="0"/>
          <w:i w:val="0"/>
          <w:sz w:val="22"/>
        </w:rPr>
        <w:t>Solution: Implemented a PrefetchQueue backed by a background daemon thread and a ThreadPoolExecutor with 8 workers for parallel FAISS search. Each worker was assigned its own random.Random() instance to avoid lock contention. faiss.omp_set_num_threads(1) was set to prevent OpenMP thread over-subscription.</w:t>
      </w:r>
    </w:p>
    <w:p>
      <w:pPr>
        <w:pStyle w:val="Heading3"/>
      </w:pPr>
      <w:r>
        <w:t>Problem 2: Wrong GPU Metrics</w:t>
      </w:r>
    </w:p>
    <w:p>
      <w:pPr>
        <w:spacing w:after="120"/>
      </w:pPr>
      <w:r>
        <w:rPr>
          <w:b w:val="0"/>
          <w:i w:val="0"/>
          <w:sz w:val="22"/>
        </w:rPr>
        <w:t>Root cause: torch.cuda.current_device() returns logical device index 0 within the CUDA_VISIBLE_DEVICES namespace. However, nvidia-smi and pynvml report utilisation using physical GPU indices. When CUDA_VISIBLE_DEVICES=N (N ≠ 0), metrics were read from the wrong physical GPU, producing inflated utilisation readings (87–97% reported vs 3–26% actual).</w:t>
      </w:r>
    </w:p>
    <w:p>
      <w:pPr>
        <w:spacing w:after="120"/>
      </w:pPr>
      <w:r>
        <w:rPr>
          <w:b w:val="0"/>
          <w:i w:val="0"/>
          <w:sz w:val="22"/>
        </w:rPr>
        <w:t>Solution: Parse the physical GPU index directly from the CUDA_VISIBLE_DEVICES environment variable and pass it explicitly to pynvml.nvmlDeviceGetHandleByIndex().</w:t>
      </w:r>
    </w:p>
    <w:p>
      <w:pPr>
        <w:pStyle w:val="Heading3"/>
      </w:pPr>
      <w:r>
        <w:t>Problem 3: GPU Idle After Checkpoint Save</w:t>
      </w:r>
    </w:p>
    <w:p>
      <w:pPr>
        <w:spacing w:after="120"/>
      </w:pPr>
      <w:r>
        <w:rPr>
          <w:b w:val="0"/>
          <w:i w:val="0"/>
          <w:sz w:val="22"/>
        </w:rPr>
        <w:t>Root cause: torch.compile(mode='reduce-overhead') uses CUDA graphs to eliminate kernel launch overhead. After torch.save(), the compiled graph's internal state was invalidated, triggering a full retrace (graph re-capture) on the next forward pass, causing several seconds of GPU idling.</w:t>
      </w:r>
    </w:p>
    <w:p>
      <w:pPr>
        <w:spacing w:after="120"/>
      </w:pPr>
      <w:r>
        <w:rPr>
          <w:b w:val="0"/>
          <w:i w:val="0"/>
          <w:sz w:val="22"/>
        </w:rPr>
        <w:t>Solution: Save the unwrapped model via raw_model = model._orig_mod if hasattr(model, '_orig_mod') else model. This avoids serialising the compiled graph wrapper and eliminates the retrace trigger.</w:t>
      </w:r>
    </w:p>
    <w:p>
      <w:pPr>
        <w:pStyle w:val="Heading3"/>
      </w:pPr>
      <w:r>
        <w:t>Problem 4: torch.compile Degrading Performance</w:t>
      </w:r>
    </w:p>
    <w:p>
      <w:pPr>
        <w:spacing w:after="120"/>
      </w:pPr>
      <w:r>
        <w:rPr>
          <w:b w:val="0"/>
          <w:i w:val="0"/>
          <w:sz w:val="22"/>
        </w:rPr>
        <w:t>torch.compile(mode='reduce-overhead') conflicted with GradScaler: dynamic loss scale changes invalidate CUDA graphs, causing frequent retraces. mode='default' triggered full Triton kernel compilation with 15–30 minute warmup per run. Both modes were ultimately counterproductive. Solution: Removed torch.compile entirely. The PrefetchQueue already provides the dominant throughput benefit; compile overhead was not justified.</w:t>
      </w:r>
    </w:p>
    <w:p>
      <w:pPr>
        <w:pStyle w:val="Heading3"/>
      </w:pPr>
      <w:r>
        <w:t>Problem 5: FAISS GPU Thread Unsafety</w:t>
      </w:r>
    </w:p>
    <w:p>
      <w:pPr>
        <w:spacing w:after="120"/>
      </w:pPr>
      <w:r>
        <w:rPr>
          <w:b w:val="0"/>
          <w:i w:val="0"/>
          <w:sz w:val="22"/>
        </w:rPr>
        <w:t>StandardGpuResources in FAISS uses a StackDeviceMemory allocator that is not thread-safe. 8 concurrent worker threads performing GPU FAISS search triggered an assertion failure: 'p + size == head_'. Solution: Reverted to CPU FAISS with omp_set_num_threads(1). CPU search with 8 workers proved sufficient and stable.</w:t>
      </w:r>
    </w:p>
    <w:p>
      <w:pPr>
        <w:pStyle w:val="Heading2"/>
      </w:pPr>
      <w:r>
        <w:t>4.3 Experiment 1: v5.3.1-CRT-parallel (d_model=768)</w:t>
      </w:r>
    </w:p>
    <w:tbl>
      <w:tblPr>
        <w:tblStyle w:val="TableGrid"/>
        <w:tblW w:type="auto" w:w="0"/>
        <w:tblLook w:firstColumn="1" w:firstRow="1" w:lastColumn="0" w:lastRow="0" w:noHBand="0" w:noVBand="1" w:val="04A0"/>
      </w:tblPr>
      <w:tblGrid>
        <w:gridCol w:w="3168"/>
        <w:gridCol w:w="3168"/>
      </w:tblGrid>
      <w:tr>
        <w:tc>
          <w:tcPr>
            <w:tcW w:type="dxa" w:w="4320"/>
          </w:tcPr>
          <w:p>
            <w:r>
              <w:rPr>
                <w:sz w:val="20"/>
              </w:rPr>
              <w:t>d_model</w:t>
            </w:r>
          </w:p>
        </w:tc>
        <w:tc>
          <w:tcPr>
            <w:tcW w:type="dxa" w:w="4320"/>
          </w:tcPr>
          <w:p>
            <w:r>
              <w:rPr>
                <w:sz w:val="20"/>
              </w:rPr>
              <w:t>768</w:t>
            </w:r>
          </w:p>
        </w:tc>
      </w:tr>
      <w:tr>
        <w:tc>
          <w:tcPr>
            <w:tcW w:type="dxa" w:w="4320"/>
          </w:tcPr>
          <w:p>
            <w:r>
              <w:rPr>
                <w:sz w:val="20"/>
              </w:rPr>
              <w:t>n_heads</w:t>
            </w:r>
          </w:p>
        </w:tc>
        <w:tc>
          <w:tcPr>
            <w:tcW w:type="dxa" w:w="4320"/>
          </w:tcPr>
          <w:p>
            <w:r>
              <w:rPr>
                <w:sz w:val="20"/>
              </w:rPr>
              <w:t>12</w:t>
            </w:r>
          </w:p>
        </w:tc>
      </w:tr>
      <w:tr>
        <w:tc>
          <w:tcPr>
            <w:tcW w:type="dxa" w:w="4320"/>
          </w:tcPr>
          <w:p>
            <w:r>
              <w:rPr>
                <w:sz w:val="20"/>
              </w:rPr>
              <w:t>n_layers</w:t>
            </w:r>
          </w:p>
        </w:tc>
        <w:tc>
          <w:tcPr>
            <w:tcW w:type="dxa" w:w="4320"/>
          </w:tcPr>
          <w:p>
            <w:r>
              <w:rPr>
                <w:sz w:val="20"/>
              </w:rPr>
              <w:t>14</w:t>
            </w:r>
          </w:p>
        </w:tc>
      </w:tr>
      <w:tr>
        <w:tc>
          <w:tcPr>
            <w:tcW w:type="dxa" w:w="4320"/>
          </w:tcPr>
          <w:p>
            <w:r>
              <w:rPr>
                <w:sz w:val="20"/>
              </w:rPr>
              <w:t>conv_kernel</w:t>
            </w:r>
          </w:p>
        </w:tc>
        <w:tc>
          <w:tcPr>
            <w:tcW w:type="dxa" w:w="4320"/>
          </w:tcPr>
          <w:p>
            <w:r>
              <w:rPr>
                <w:sz w:val="20"/>
              </w:rPr>
              <w:t>31</w:t>
            </w:r>
          </w:p>
        </w:tc>
      </w:tr>
      <w:tr>
        <w:tc>
          <w:tcPr>
            <w:tcW w:type="dxa" w:w="4320"/>
          </w:tcPr>
          <w:p>
            <w:r>
              <w:rPr>
                <w:sz w:val="20"/>
              </w:rPr>
              <w:t>Parameters</w:t>
            </w:r>
          </w:p>
        </w:tc>
        <w:tc>
          <w:tcPr>
            <w:tcW w:type="dxa" w:w="4320"/>
          </w:tcPr>
          <w:p>
            <w:r>
              <w:rPr>
                <w:sz w:val="20"/>
              </w:rPr>
              <w:t>250.7M</w:t>
            </w:r>
          </w:p>
        </w:tc>
      </w:tr>
      <w:tr>
        <w:tc>
          <w:tcPr>
            <w:tcW w:type="dxa" w:w="4320"/>
          </w:tcPr>
          <w:p>
            <w:r>
              <w:rPr>
                <w:sz w:val="20"/>
              </w:rPr>
              <w:t>batch_size</w:t>
            </w:r>
          </w:p>
        </w:tc>
        <w:tc>
          <w:tcPr>
            <w:tcW w:type="dxa" w:w="4320"/>
          </w:tcPr>
          <w:p>
            <w:r>
              <w:rPr>
                <w:sz w:val="20"/>
              </w:rPr>
              <w:t>128</w:t>
            </w:r>
          </w:p>
        </w:tc>
      </w:tr>
      <w:tr>
        <w:tc>
          <w:tcPr>
            <w:tcW w:type="dxa" w:w="4320"/>
          </w:tcPr>
          <w:p>
            <w:r>
              <w:rPr>
                <w:sz w:val="20"/>
              </w:rPr>
              <w:t>seq_len</w:t>
            </w:r>
          </w:p>
        </w:tc>
        <w:tc>
          <w:tcPr>
            <w:tcW w:type="dxa" w:w="4320"/>
          </w:tcPr>
          <w:p>
            <w:r>
              <w:rPr>
                <w:sz w:val="20"/>
              </w:rPr>
              <w:t>128</w:t>
            </w:r>
          </w:p>
        </w:tc>
      </w:tr>
      <w:tr>
        <w:tc>
          <w:tcPr>
            <w:tcW w:type="dxa" w:w="4320"/>
          </w:tcPr>
          <w:p>
            <w:r>
              <w:rPr>
                <w:sz w:val="20"/>
              </w:rPr>
              <w:t>lr</w:t>
            </w:r>
          </w:p>
        </w:tc>
        <w:tc>
          <w:tcPr>
            <w:tcW w:type="dxa" w:w="4320"/>
          </w:tcPr>
          <w:p>
            <w:r>
              <w:rPr>
                <w:sz w:val="20"/>
              </w:rPr>
              <w:t>1e-4 (changed from 3e-4)</w:t>
            </w:r>
          </w:p>
        </w:tc>
      </w:tr>
      <w:tr>
        <w:tc>
          <w:tcPr>
            <w:tcW w:type="dxa" w:w="4320"/>
          </w:tcPr>
          <w:p>
            <w:r>
              <w:rPr>
                <w:sz w:val="20"/>
              </w:rPr>
              <w:t>corrupt_ratio</w:t>
            </w:r>
          </w:p>
        </w:tc>
        <w:tc>
          <w:tcPr>
            <w:tcW w:type="dxa" w:w="4320"/>
          </w:tcPr>
          <w:p>
            <w:r>
              <w:rPr>
                <w:sz w:val="20"/>
              </w:rPr>
              <w:t>0.50 (changed from 0.70)</w:t>
            </w:r>
          </w:p>
        </w:tc>
      </w:tr>
      <w:tr>
        <w:tc>
          <w:tcPr>
            <w:tcW w:type="dxa" w:w="4320"/>
          </w:tcPr>
          <w:p>
            <w:r>
              <w:rPr>
                <w:sz w:val="20"/>
              </w:rPr>
              <w:t>corrupt_ratio_hi</w:t>
            </w:r>
          </w:p>
        </w:tc>
        <w:tc>
          <w:tcPr>
            <w:tcW w:type="dxa" w:w="4320"/>
          </w:tcPr>
          <w:p>
            <w:r>
              <w:rPr>
                <w:sz w:val="20"/>
              </w:rPr>
              <w:t>0.20</w:t>
            </w:r>
          </w:p>
        </w:tc>
      </w:tr>
      <w:tr>
        <w:tc>
          <w:tcPr>
            <w:tcW w:type="dxa" w:w="4320"/>
          </w:tcPr>
          <w:p>
            <w:r>
              <w:rPr>
                <w:sz w:val="20"/>
              </w:rPr>
              <w:t>faiss_frac</w:t>
            </w:r>
          </w:p>
        </w:tc>
        <w:tc>
          <w:tcPr>
            <w:tcW w:type="dxa" w:w="4320"/>
          </w:tcPr>
          <w:p>
            <w:r>
              <w:rPr>
                <w:sz w:val="20"/>
              </w:rPr>
              <w:t>0.90</w:t>
            </w:r>
          </w:p>
        </w:tc>
      </w:tr>
      <w:tr>
        <w:tc>
          <w:tcPr>
            <w:tcW w:type="dxa" w:w="4320"/>
          </w:tcPr>
          <w:p>
            <w:r>
              <w:rPr>
                <w:sz w:val="20"/>
              </w:rPr>
              <w:t>focal_gamma</w:t>
            </w:r>
          </w:p>
        </w:tc>
        <w:tc>
          <w:tcPr>
            <w:tcW w:type="dxa" w:w="4320"/>
          </w:tcPr>
          <w:p>
            <w:r>
              <w:rPr>
                <w:sz w:val="20"/>
              </w:rPr>
              <w:t>1.0</w:t>
            </w:r>
          </w:p>
        </w:tc>
      </w:tr>
      <w:tr>
        <w:tc>
          <w:tcPr>
            <w:tcW w:type="dxa" w:w="4320"/>
          </w:tcPr>
          <w:p>
            <w:r>
              <w:rPr>
                <w:sz w:val="20"/>
              </w:rPr>
              <w:t>steps</w:t>
            </w:r>
          </w:p>
        </w:tc>
        <w:tc>
          <w:tcPr>
            <w:tcW w:type="dxa" w:w="4320"/>
          </w:tcPr>
          <w:p>
            <w:r>
              <w:rPr>
                <w:sz w:val="20"/>
              </w:rPr>
              <w:t>30,000</w:t>
            </w:r>
          </w:p>
        </w:tc>
      </w:tr>
      <w:tr>
        <w:tc>
          <w:tcPr>
            <w:tcW w:type="dxa" w:w="4320"/>
          </w:tcPr>
          <w:p>
            <w:r>
              <w:rPr>
                <w:sz w:val="20"/>
              </w:rPr>
              <w:t>Training time</w:t>
            </w:r>
          </w:p>
        </w:tc>
        <w:tc>
          <w:tcPr>
            <w:tcW w:type="dxa" w:w="4320"/>
          </w:tcPr>
          <w:p>
            <w:r>
              <w:rPr>
                <w:sz w:val="20"/>
              </w:rPr>
              <w:t>711.6 min</w:t>
            </w:r>
          </w:p>
        </w:tc>
      </w:tr>
    </w:tbl>
    <w:p/>
    <w:p>
      <w:pPr>
        <w:spacing w:after="120"/>
      </w:pPr>
      <w:r>
        <w:rPr>
          <w:b w:val="0"/>
          <w:i w:val="0"/>
          <w:sz w:val="22"/>
        </w:rPr>
        <w:t>Initial configuration problem: lr=3e-4 with corrupt_ratio=0.70 caused the loss to plateau at approximately 7.01 from step 400 onward — a classic symptom of a learning rate too high for the effective batch size, causing oscillation around a local minimum without converging. The configuration was corrected to lr=1e-4 and corrupt_ratio=0.50.</w:t>
      </w:r>
    </w:p>
    <w:p>
      <w:pPr>
        <w:spacing w:after="120"/>
      </w:pPr>
      <w:r>
        <w:rPr>
          <w:b/>
          <w:i w:val="0"/>
          <w:sz w:val="22"/>
        </w:rPr>
        <w:t>Loss progression (key milestones):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Step</w:t>
            </w:r>
          </w:p>
        </w:tc>
        <w:tc>
          <w:tcPr>
            <w:tcW w:type="dxa" w:w="1728"/>
          </w:tcPr>
          <w:p>
            <w:pPr>
              <w:jc w:val="center"/>
            </w:pPr>
            <w:r>
              <w:rPr>
                <w:b/>
                <w:sz w:val="20"/>
              </w:rPr>
              <w:t>Loss</w:t>
            </w:r>
          </w:p>
        </w:tc>
        <w:tc>
          <w:tcPr>
            <w:tcW w:type="dxa" w:w="1728"/>
          </w:tcPr>
          <w:p>
            <w:pPr>
              <w:jc w:val="center"/>
            </w:pPr>
            <w:r>
              <w:rPr>
                <w:b/>
                <w:sz w:val="20"/>
              </w:rPr>
              <w:t>CB1 acc</w:t>
            </w:r>
          </w:p>
        </w:tc>
        <w:tc>
          <w:tcPr>
            <w:tcW w:type="dxa" w:w="1728"/>
          </w:tcPr>
          <w:p>
            <w:pPr>
              <w:jc w:val="center"/>
            </w:pPr>
            <w:r>
              <w:rPr>
                <w:b/>
                <w:sz w:val="20"/>
              </w:rPr>
              <w:t>CB18 acc</w:t>
            </w:r>
          </w:p>
        </w:tc>
        <w:tc>
          <w:tcPr>
            <w:tcW w:type="dxa" w:w="1728"/>
          </w:tcPr>
          <w:p>
            <w:pPr>
              <w:jc w:val="center"/>
            </w:pPr>
            <w:r>
              <w:rPr>
                <w:b/>
                <w:sz w:val="20"/>
              </w:rPr>
              <w:t>GPU%</w:t>
            </w:r>
          </w:p>
        </w:tc>
      </w:tr>
      <w:tr>
        <w:tc>
          <w:tcPr>
            <w:tcW w:type="dxa" w:w="1728"/>
          </w:tcPr>
          <w:p>
            <w:pPr>
              <w:jc w:val="center"/>
            </w:pPr>
            <w:r>
              <w:rPr>
                <w:sz w:val="20"/>
              </w:rPr>
              <w:t>200</w:t>
            </w:r>
          </w:p>
        </w:tc>
        <w:tc>
          <w:tcPr>
            <w:tcW w:type="dxa" w:w="1728"/>
          </w:tcPr>
          <w:p>
            <w:pPr>
              <w:jc w:val="center"/>
            </w:pPr>
            <w:r>
              <w:rPr>
                <w:sz w:val="20"/>
              </w:rPr>
              <w:t>7.321</w:t>
            </w:r>
          </w:p>
        </w:tc>
        <w:tc>
          <w:tcPr>
            <w:tcW w:type="dxa" w:w="1728"/>
          </w:tcPr>
          <w:p>
            <w:pPr>
              <w:jc w:val="center"/>
            </w:pPr>
            <w:r>
              <w:rPr>
                <w:sz w:val="20"/>
              </w:rPr>
              <w:t>4%</w:t>
            </w:r>
          </w:p>
        </w:tc>
        <w:tc>
          <w:tcPr>
            <w:tcW w:type="dxa" w:w="1728"/>
          </w:tcPr>
          <w:p>
            <w:pPr>
              <w:jc w:val="center"/>
            </w:pPr>
            <w:r>
              <w:rPr>
                <w:sz w:val="20"/>
              </w:rPr>
              <w:t>2%</w:t>
            </w:r>
          </w:p>
        </w:tc>
        <w:tc>
          <w:tcPr>
            <w:tcW w:type="dxa" w:w="1728"/>
          </w:tcPr>
          <w:p>
            <w:pPr>
              <w:jc w:val="center"/>
            </w:pPr>
            <w:r>
              <w:rPr>
                <w:sz w:val="20"/>
              </w:rPr>
              <w:t>0%</w:t>
            </w:r>
          </w:p>
        </w:tc>
      </w:tr>
      <w:tr>
        <w:tc>
          <w:tcPr>
            <w:tcW w:type="dxa" w:w="1728"/>
          </w:tcPr>
          <w:p>
            <w:pPr>
              <w:jc w:val="center"/>
            </w:pPr>
            <w:r>
              <w:rPr>
                <w:sz w:val="20"/>
              </w:rPr>
              <w:t>1000</w:t>
            </w:r>
          </w:p>
        </w:tc>
        <w:tc>
          <w:tcPr>
            <w:tcW w:type="dxa" w:w="1728"/>
          </w:tcPr>
          <w:p>
            <w:pPr>
              <w:jc w:val="center"/>
            </w:pPr>
            <w:r>
              <w:rPr>
                <w:sz w:val="20"/>
              </w:rPr>
              <w:t>6.501</w:t>
            </w:r>
          </w:p>
        </w:tc>
        <w:tc>
          <w:tcPr>
            <w:tcW w:type="dxa" w:w="1728"/>
          </w:tcPr>
          <w:p>
            <w:pPr>
              <w:jc w:val="center"/>
            </w:pPr>
            <w:r>
              <w:rPr>
                <w:sz w:val="20"/>
              </w:rPr>
              <w:t>6%</w:t>
            </w:r>
          </w:p>
        </w:tc>
        <w:tc>
          <w:tcPr>
            <w:tcW w:type="dxa" w:w="1728"/>
          </w:tcPr>
          <w:p>
            <w:pPr>
              <w:jc w:val="center"/>
            </w:pPr>
            <w:r>
              <w:rPr>
                <w:sz w:val="20"/>
              </w:rPr>
              <w:t>3%</w:t>
            </w:r>
          </w:p>
        </w:tc>
        <w:tc>
          <w:tcPr>
            <w:tcW w:type="dxa" w:w="1728"/>
          </w:tcPr>
          <w:p>
            <w:pPr>
              <w:jc w:val="center"/>
            </w:pPr>
            <w:r>
              <w:rPr>
                <w:sz w:val="20"/>
              </w:rPr>
              <w:t>4%</w:t>
            </w:r>
          </w:p>
        </w:tc>
      </w:tr>
      <w:tr>
        <w:tc>
          <w:tcPr>
            <w:tcW w:type="dxa" w:w="1728"/>
          </w:tcPr>
          <w:p>
            <w:pPr>
              <w:jc w:val="center"/>
            </w:pPr>
            <w:r>
              <w:rPr>
                <w:sz w:val="20"/>
              </w:rPr>
              <w:t>2000</w:t>
            </w:r>
          </w:p>
        </w:tc>
        <w:tc>
          <w:tcPr>
            <w:tcW w:type="dxa" w:w="1728"/>
          </w:tcPr>
          <w:p>
            <w:pPr>
              <w:jc w:val="center"/>
            </w:pPr>
            <w:r>
              <w:rPr>
                <w:sz w:val="20"/>
              </w:rPr>
              <w:t>6.340</w:t>
            </w:r>
          </w:p>
        </w:tc>
        <w:tc>
          <w:tcPr>
            <w:tcW w:type="dxa" w:w="1728"/>
          </w:tcPr>
          <w:p>
            <w:pPr>
              <w:jc w:val="center"/>
            </w:pPr>
            <w:r>
              <w:rPr>
                <w:sz w:val="20"/>
              </w:rPr>
              <w:t>8%</w:t>
            </w:r>
          </w:p>
        </w:tc>
        <w:tc>
          <w:tcPr>
            <w:tcW w:type="dxa" w:w="1728"/>
          </w:tcPr>
          <w:p>
            <w:pPr>
              <w:jc w:val="center"/>
            </w:pPr>
            <w:r>
              <w:rPr>
                <w:sz w:val="20"/>
              </w:rPr>
              <w:t>2%</w:t>
            </w:r>
          </w:p>
        </w:tc>
        <w:tc>
          <w:tcPr>
            <w:tcW w:type="dxa" w:w="1728"/>
          </w:tcPr>
          <w:p>
            <w:pPr>
              <w:jc w:val="center"/>
            </w:pPr>
            <w:r>
              <w:rPr>
                <w:sz w:val="20"/>
              </w:rPr>
              <w:t>9%</w:t>
            </w:r>
          </w:p>
        </w:tc>
      </w:tr>
      <w:tr>
        <w:tc>
          <w:tcPr>
            <w:tcW w:type="dxa" w:w="1728"/>
          </w:tcPr>
          <w:p>
            <w:pPr>
              <w:jc w:val="center"/>
            </w:pPr>
            <w:r>
              <w:rPr>
                <w:sz w:val="20"/>
              </w:rPr>
              <w:t>6000</w:t>
            </w:r>
          </w:p>
        </w:tc>
        <w:tc>
          <w:tcPr>
            <w:tcW w:type="dxa" w:w="1728"/>
          </w:tcPr>
          <w:p>
            <w:pPr>
              <w:jc w:val="center"/>
            </w:pPr>
            <w:r>
              <w:rPr>
                <w:sz w:val="20"/>
              </w:rPr>
              <w:t>6.040</w:t>
            </w:r>
          </w:p>
        </w:tc>
        <w:tc>
          <w:tcPr>
            <w:tcW w:type="dxa" w:w="1728"/>
          </w:tcPr>
          <w:p>
            <w:pPr>
              <w:jc w:val="center"/>
            </w:pPr>
            <w:r>
              <w:rPr>
                <w:sz w:val="20"/>
              </w:rPr>
              <w:t>15%</w:t>
            </w:r>
          </w:p>
        </w:tc>
        <w:tc>
          <w:tcPr>
            <w:tcW w:type="dxa" w:w="1728"/>
          </w:tcPr>
          <w:p>
            <w:pPr>
              <w:jc w:val="center"/>
            </w:pPr>
            <w:r>
              <w:rPr>
                <w:sz w:val="20"/>
              </w:rPr>
              <w:t>3%</w:t>
            </w:r>
          </w:p>
        </w:tc>
        <w:tc>
          <w:tcPr>
            <w:tcW w:type="dxa" w:w="1728"/>
          </w:tcPr>
          <w:p>
            <w:pPr>
              <w:jc w:val="center"/>
            </w:pPr>
            <w:r>
              <w:rPr>
                <w:sz w:val="20"/>
              </w:rPr>
              <w:t>6%</w:t>
            </w:r>
          </w:p>
        </w:tc>
      </w:tr>
      <w:tr>
        <w:tc>
          <w:tcPr>
            <w:tcW w:type="dxa" w:w="1728"/>
          </w:tcPr>
          <w:p>
            <w:pPr>
              <w:jc w:val="center"/>
            </w:pPr>
            <w:r>
              <w:rPr>
                <w:sz w:val="20"/>
              </w:rPr>
              <w:t>10000</w:t>
            </w:r>
          </w:p>
        </w:tc>
        <w:tc>
          <w:tcPr>
            <w:tcW w:type="dxa" w:w="1728"/>
          </w:tcPr>
          <w:p>
            <w:pPr>
              <w:jc w:val="center"/>
            </w:pPr>
            <w:r>
              <w:rPr>
                <w:sz w:val="20"/>
              </w:rPr>
              <w:t>5.764</w:t>
            </w:r>
          </w:p>
        </w:tc>
        <w:tc>
          <w:tcPr>
            <w:tcW w:type="dxa" w:w="1728"/>
          </w:tcPr>
          <w:p>
            <w:pPr>
              <w:jc w:val="center"/>
            </w:pPr>
            <w:r>
              <w:rPr>
                <w:sz w:val="20"/>
              </w:rPr>
              <w:t>20%</w:t>
            </w:r>
          </w:p>
        </w:tc>
        <w:tc>
          <w:tcPr>
            <w:tcW w:type="dxa" w:w="1728"/>
          </w:tcPr>
          <w:p>
            <w:pPr>
              <w:jc w:val="center"/>
            </w:pPr>
            <w:r>
              <w:rPr>
                <w:sz w:val="20"/>
              </w:rPr>
              <w:t>3%</w:t>
            </w:r>
          </w:p>
        </w:tc>
        <w:tc>
          <w:tcPr>
            <w:tcW w:type="dxa" w:w="1728"/>
          </w:tcPr>
          <w:p>
            <w:pPr>
              <w:jc w:val="center"/>
            </w:pPr>
            <w:r>
              <w:rPr>
                <w:sz w:val="20"/>
              </w:rPr>
              <w:t>100%</w:t>
            </w:r>
          </w:p>
        </w:tc>
      </w:tr>
      <w:tr>
        <w:tc>
          <w:tcPr>
            <w:tcW w:type="dxa" w:w="1728"/>
          </w:tcPr>
          <w:p>
            <w:pPr>
              <w:jc w:val="center"/>
            </w:pPr>
            <w:r>
              <w:rPr>
                <w:sz w:val="20"/>
              </w:rPr>
              <w:t>16000</w:t>
            </w:r>
          </w:p>
        </w:tc>
        <w:tc>
          <w:tcPr>
            <w:tcW w:type="dxa" w:w="1728"/>
          </w:tcPr>
          <w:p>
            <w:pPr>
              <w:jc w:val="center"/>
            </w:pPr>
            <w:r>
              <w:rPr>
                <w:sz w:val="20"/>
              </w:rPr>
              <w:t>5.491</w:t>
            </w:r>
          </w:p>
        </w:tc>
        <w:tc>
          <w:tcPr>
            <w:tcW w:type="dxa" w:w="1728"/>
          </w:tcPr>
          <w:p>
            <w:pPr>
              <w:jc w:val="center"/>
            </w:pPr>
            <w:r>
              <w:rPr>
                <w:sz w:val="20"/>
              </w:rPr>
              <w:t>27%</w:t>
            </w:r>
          </w:p>
        </w:tc>
        <w:tc>
          <w:tcPr>
            <w:tcW w:type="dxa" w:w="1728"/>
          </w:tcPr>
          <w:p>
            <w:pPr>
              <w:jc w:val="center"/>
            </w:pPr>
            <w:r>
              <w:rPr>
                <w:sz w:val="20"/>
              </w:rPr>
              <w:t>4%</w:t>
            </w:r>
          </w:p>
        </w:tc>
        <w:tc>
          <w:tcPr>
            <w:tcW w:type="dxa" w:w="1728"/>
          </w:tcPr>
          <w:p>
            <w:pPr>
              <w:jc w:val="center"/>
            </w:pPr>
            <w:r>
              <w:rPr>
                <w:sz w:val="20"/>
              </w:rPr>
              <w:t>3%</w:t>
            </w:r>
          </w:p>
        </w:tc>
      </w:tr>
      <w:tr>
        <w:tc>
          <w:tcPr>
            <w:tcW w:type="dxa" w:w="1728"/>
          </w:tcPr>
          <w:p>
            <w:pPr>
              <w:jc w:val="center"/>
            </w:pPr>
            <w:r>
              <w:rPr>
                <w:sz w:val="20"/>
              </w:rPr>
              <w:t>20000</w:t>
            </w:r>
          </w:p>
        </w:tc>
        <w:tc>
          <w:tcPr>
            <w:tcW w:type="dxa" w:w="1728"/>
          </w:tcPr>
          <w:p>
            <w:pPr>
              <w:jc w:val="center"/>
            </w:pPr>
            <w:r>
              <w:rPr>
                <w:sz w:val="20"/>
              </w:rPr>
              <w:t>5.394</w:t>
            </w:r>
          </w:p>
        </w:tc>
        <w:tc>
          <w:tcPr>
            <w:tcW w:type="dxa" w:w="1728"/>
          </w:tcPr>
          <w:p>
            <w:pPr>
              <w:jc w:val="center"/>
            </w:pPr>
            <w:r>
              <w:rPr>
                <w:sz w:val="20"/>
              </w:rPr>
              <w:t>29%</w:t>
            </w:r>
          </w:p>
        </w:tc>
        <w:tc>
          <w:tcPr>
            <w:tcW w:type="dxa" w:w="1728"/>
          </w:tcPr>
          <w:p>
            <w:pPr>
              <w:jc w:val="center"/>
            </w:pPr>
            <w:r>
              <w:rPr>
                <w:sz w:val="20"/>
              </w:rPr>
              <w:t>4%</w:t>
            </w:r>
          </w:p>
        </w:tc>
        <w:tc>
          <w:tcPr>
            <w:tcW w:type="dxa" w:w="1728"/>
          </w:tcPr>
          <w:p>
            <w:pPr>
              <w:jc w:val="center"/>
            </w:pPr>
            <w:r>
              <w:rPr>
                <w:sz w:val="20"/>
              </w:rPr>
              <w:t>4%</w:t>
            </w:r>
          </w:p>
        </w:tc>
      </w:tr>
      <w:tr>
        <w:tc>
          <w:tcPr>
            <w:tcW w:type="dxa" w:w="1728"/>
          </w:tcPr>
          <w:p>
            <w:pPr>
              <w:jc w:val="center"/>
            </w:pPr>
            <w:r>
              <w:rPr>
                <w:sz w:val="20"/>
              </w:rPr>
              <w:t>24000</w:t>
            </w:r>
          </w:p>
        </w:tc>
        <w:tc>
          <w:tcPr>
            <w:tcW w:type="dxa" w:w="1728"/>
          </w:tcPr>
          <w:p>
            <w:pPr>
              <w:jc w:val="center"/>
            </w:pPr>
            <w:r>
              <w:rPr>
                <w:sz w:val="20"/>
              </w:rPr>
              <w:t>5.340</w:t>
            </w:r>
          </w:p>
        </w:tc>
        <w:tc>
          <w:tcPr>
            <w:tcW w:type="dxa" w:w="1728"/>
          </w:tcPr>
          <w:p>
            <w:pPr>
              <w:jc w:val="center"/>
            </w:pPr>
            <w:r>
              <w:rPr>
                <w:sz w:val="20"/>
              </w:rPr>
              <w:t>31%</w:t>
            </w:r>
          </w:p>
        </w:tc>
        <w:tc>
          <w:tcPr>
            <w:tcW w:type="dxa" w:w="1728"/>
          </w:tcPr>
          <w:p>
            <w:pPr>
              <w:jc w:val="center"/>
            </w:pPr>
            <w:r>
              <w:rPr>
                <w:sz w:val="20"/>
              </w:rPr>
              <w:t>5%</w:t>
            </w:r>
          </w:p>
        </w:tc>
        <w:tc>
          <w:tcPr>
            <w:tcW w:type="dxa" w:w="1728"/>
          </w:tcPr>
          <w:p>
            <w:pPr>
              <w:jc w:val="center"/>
            </w:pPr>
            <w:r>
              <w:rPr>
                <w:sz w:val="20"/>
              </w:rPr>
              <w:t>7%</w:t>
            </w:r>
          </w:p>
        </w:tc>
      </w:tr>
      <w:tr>
        <w:tc>
          <w:tcPr>
            <w:tcW w:type="dxa" w:w="1728"/>
          </w:tcPr>
          <w:p>
            <w:pPr>
              <w:jc w:val="center"/>
            </w:pPr>
            <w:r>
              <w:rPr>
                <w:sz w:val="20"/>
              </w:rPr>
              <w:t>28000</w:t>
            </w:r>
          </w:p>
        </w:tc>
        <w:tc>
          <w:tcPr>
            <w:tcW w:type="dxa" w:w="1728"/>
          </w:tcPr>
          <w:p>
            <w:pPr>
              <w:jc w:val="center"/>
            </w:pPr>
            <w:r>
              <w:rPr>
                <w:sz w:val="20"/>
              </w:rPr>
              <w:t>5.318</w:t>
            </w:r>
          </w:p>
        </w:tc>
        <w:tc>
          <w:tcPr>
            <w:tcW w:type="dxa" w:w="1728"/>
          </w:tcPr>
          <w:p>
            <w:pPr>
              <w:jc w:val="center"/>
            </w:pPr>
            <w:r>
              <w:rPr>
                <w:sz w:val="20"/>
              </w:rPr>
              <w:t>31%</w:t>
            </w:r>
          </w:p>
        </w:tc>
        <w:tc>
          <w:tcPr>
            <w:tcW w:type="dxa" w:w="1728"/>
          </w:tcPr>
          <w:p>
            <w:pPr>
              <w:jc w:val="center"/>
            </w:pPr>
            <w:r>
              <w:rPr>
                <w:sz w:val="20"/>
              </w:rPr>
              <w:t>5%</w:t>
            </w:r>
          </w:p>
        </w:tc>
        <w:tc>
          <w:tcPr>
            <w:tcW w:type="dxa" w:w="1728"/>
          </w:tcPr>
          <w:p>
            <w:pPr>
              <w:jc w:val="center"/>
            </w:pPr>
            <w:r>
              <w:rPr>
                <w:sz w:val="20"/>
              </w:rPr>
              <w:t>100%</w:t>
            </w:r>
          </w:p>
        </w:tc>
      </w:tr>
      <w:tr>
        <w:tc>
          <w:tcPr>
            <w:tcW w:type="dxa" w:w="1728"/>
          </w:tcPr>
          <w:p>
            <w:pPr>
              <w:jc w:val="center"/>
            </w:pPr>
            <w:r>
              <w:rPr>
                <w:sz w:val="20"/>
              </w:rPr>
              <w:t>30000</w:t>
            </w:r>
          </w:p>
        </w:tc>
        <w:tc>
          <w:tcPr>
            <w:tcW w:type="dxa" w:w="1728"/>
          </w:tcPr>
          <w:p>
            <w:pPr>
              <w:jc w:val="center"/>
            </w:pPr>
            <w:r>
              <w:rPr>
                <w:sz w:val="20"/>
              </w:rPr>
              <w:t>5.317</w:t>
            </w:r>
          </w:p>
        </w:tc>
        <w:tc>
          <w:tcPr>
            <w:tcW w:type="dxa" w:w="1728"/>
          </w:tcPr>
          <w:p>
            <w:pPr>
              <w:jc w:val="center"/>
            </w:pPr>
            <w:r>
              <w:rPr>
                <w:sz w:val="20"/>
              </w:rPr>
              <w:t>31%</w:t>
            </w:r>
          </w:p>
        </w:tc>
        <w:tc>
          <w:tcPr>
            <w:tcW w:type="dxa" w:w="1728"/>
          </w:tcPr>
          <w:p>
            <w:pPr>
              <w:jc w:val="center"/>
            </w:pPr>
            <w:r>
              <w:rPr>
                <w:sz w:val="20"/>
              </w:rPr>
              <w:t>4%</w:t>
            </w:r>
          </w:p>
        </w:tc>
        <w:tc>
          <w:tcPr>
            <w:tcW w:type="dxa" w:w="1728"/>
          </w:tcPr>
          <w:p>
            <w:pPr>
              <w:jc w:val="center"/>
            </w:pPr>
            <w:r>
              <w:rPr>
                <w:sz w:val="20"/>
              </w:rPr>
              <w:t>95%</w:t>
            </w:r>
          </w:p>
        </w:tc>
      </w:tr>
    </w:tbl>
    <w:p/>
    <w:p>
      <w:pPr>
        <w:spacing w:after="120"/>
      </w:pPr>
      <w:r>
        <w:rPr>
          <w:b/>
          <w:i w:val="0"/>
          <w:sz w:val="22"/>
        </w:rPr>
        <w:t>Final CB accuracy summary (d_model=768):</w:t>
      </w:r>
    </w:p>
    <w:p>
      <w:pPr>
        <w:spacing w:after="120"/>
      </w:pPr>
      <w:r>
        <w:rPr>
          <w:b w:val="0"/>
          <w:i w:val="0"/>
          <w:sz w:val="22"/>
        </w:rPr>
        <w:t>CB1: 31.3%  |  CB2: 15.6%  |  CB3: 12.9%  |  CB4: 9.4%  |  CB5: 9.4%  |  CB6: 8.3%  |  CB7: 8.0%  |  CB8: 6.4%  |  CB9: 6.2%  |  CB10: 6.1%  |  CB11: 5.7%  |  CB12: 5.0%  |  CB13: 4.9%  |  CB14: 4.6%  |  CB15: 4.2%  |  CB16: 5.2%  |  CB17: 4.4%  |  CB18: 4.2%</w:t>
      </w:r>
    </w:p>
    <w:p>
      <w:pPr>
        <w:spacing w:after="120"/>
      </w:pPr>
      <w:r>
        <w:rPr>
          <w:b/>
          <w:i w:val="0"/>
          <w:sz w:val="22"/>
        </w:rPr>
        <w:t>Evaluation results: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Method</w:t>
            </w:r>
          </w:p>
        </w:tc>
        <w:tc>
          <w:tcPr>
            <w:tcW w:type="dxa" w:w="2880"/>
          </w:tcPr>
          <w:p>
            <w:pPr>
              <w:jc w:val="center"/>
            </w:pPr>
            <w:r>
              <w:rPr>
                <w:b/>
                <w:sz w:val="20"/>
              </w:rPr>
              <w:t>SECS→target</w:t>
            </w:r>
          </w:p>
        </w:tc>
        <w:tc>
          <w:tcPr>
            <w:tcW w:type="dxa" w:w="2880"/>
          </w:tcPr>
          <w:p>
            <w:pPr>
              <w:jc w:val="center"/>
            </w:pPr>
            <w:r>
              <w:rPr>
                <w:b/>
                <w:sz w:val="20"/>
              </w:rPr>
              <w:t>MCD</w:t>
            </w:r>
          </w:p>
        </w:tc>
      </w:tr>
      <w:tr>
        <w:tc>
          <w:tcPr>
            <w:tcW w:type="dxa" w:w="2880"/>
          </w:tcPr>
          <w:p>
            <w:pPr>
              <w:jc w:val="center"/>
            </w:pPr>
            <w:r>
              <w:rPr>
                <w:sz w:val="20"/>
              </w:rPr>
              <w:t>FAISS baseline</w:t>
            </w:r>
          </w:p>
        </w:tc>
        <w:tc>
          <w:tcPr>
            <w:tcW w:type="dxa" w:w="2880"/>
          </w:tcPr>
          <w:p>
            <w:pPr>
              <w:jc w:val="center"/>
            </w:pPr>
            <w:r>
              <w:rPr>
                <w:sz w:val="20"/>
              </w:rPr>
              <w:t>0.8792</w:t>
            </w:r>
          </w:p>
        </w:tc>
        <w:tc>
          <w:tcPr>
            <w:tcW w:type="dxa" w:w="2880"/>
          </w:tcPr>
          <w:p>
            <w:pPr>
              <w:jc w:val="center"/>
            </w:pPr>
            <w:r>
              <w:rPr>
                <w:sz w:val="20"/>
              </w:rPr>
              <w:t>106.53</w:t>
            </w:r>
          </w:p>
        </w:tc>
      </w:tr>
      <w:tr>
        <w:tc>
          <w:tcPr>
            <w:tcW w:type="dxa" w:w="2880"/>
          </w:tcPr>
          <w:p>
            <w:pPr>
              <w:jc w:val="center"/>
            </w:pPr>
            <w:r>
              <w:rPr>
                <w:sz w:val="20"/>
              </w:rPr>
              <w:t>CRT-xlarge (768)</w:t>
            </w:r>
          </w:p>
        </w:tc>
        <w:tc>
          <w:tcPr>
            <w:tcW w:type="dxa" w:w="2880"/>
          </w:tcPr>
          <w:p>
            <w:pPr>
              <w:jc w:val="center"/>
            </w:pPr>
            <w:r>
              <w:rPr>
                <w:sz w:val="20"/>
              </w:rPr>
              <w:t>0.7565</w:t>
            </w:r>
          </w:p>
        </w:tc>
        <w:tc>
          <w:tcPr>
            <w:tcW w:type="dxa" w:w="2880"/>
          </w:tcPr>
          <w:p>
            <w:pPr>
              <w:jc w:val="center"/>
            </w:pPr>
            <w:r>
              <w:rPr>
                <w:sz w:val="20"/>
              </w:rPr>
              <w:t>132.79</w:t>
            </w:r>
          </w:p>
        </w:tc>
      </w:tr>
    </w:tbl>
    <w:p/>
    <w:p>
      <w:pPr>
        <w:pStyle w:val="Heading2"/>
      </w:pPr>
      <w:r>
        <w:t>4.4 Experiment 2: v5.3.1-CRT-parallel-layers-14-d_model-1024 (d_model=1024)</w:t>
      </w:r>
    </w:p>
    <w:tbl>
      <w:tblPr>
        <w:tblStyle w:val="TableGrid"/>
        <w:tblW w:type="auto" w:w="0"/>
        <w:tblLook w:firstColumn="1" w:firstRow="1" w:lastColumn="0" w:lastRow="0" w:noHBand="0" w:noVBand="1" w:val="04A0"/>
      </w:tblPr>
      <w:tblGrid>
        <w:gridCol w:w="3168"/>
        <w:gridCol w:w="3168"/>
      </w:tblGrid>
      <w:tr>
        <w:tc>
          <w:tcPr>
            <w:tcW w:type="dxa" w:w="4320"/>
          </w:tcPr>
          <w:p>
            <w:r>
              <w:rPr>
                <w:sz w:val="20"/>
              </w:rPr>
              <w:t>d_model</w:t>
            </w:r>
          </w:p>
        </w:tc>
        <w:tc>
          <w:tcPr>
            <w:tcW w:type="dxa" w:w="4320"/>
          </w:tcPr>
          <w:p>
            <w:r>
              <w:rPr>
                <w:sz w:val="20"/>
              </w:rPr>
              <w:t>1024</w:t>
            </w:r>
          </w:p>
        </w:tc>
      </w:tr>
      <w:tr>
        <w:tc>
          <w:tcPr>
            <w:tcW w:type="dxa" w:w="4320"/>
          </w:tcPr>
          <w:p>
            <w:r>
              <w:rPr>
                <w:sz w:val="20"/>
              </w:rPr>
              <w:t>n_heads</w:t>
            </w:r>
          </w:p>
        </w:tc>
        <w:tc>
          <w:tcPr>
            <w:tcW w:type="dxa" w:w="4320"/>
          </w:tcPr>
          <w:p>
            <w:r>
              <w:rPr>
                <w:sz w:val="20"/>
              </w:rPr>
              <w:t>16</w:t>
            </w:r>
          </w:p>
        </w:tc>
      </w:tr>
      <w:tr>
        <w:tc>
          <w:tcPr>
            <w:tcW w:type="dxa" w:w="4320"/>
          </w:tcPr>
          <w:p>
            <w:r>
              <w:rPr>
                <w:sz w:val="20"/>
              </w:rPr>
              <w:t>n_layers</w:t>
            </w:r>
          </w:p>
        </w:tc>
        <w:tc>
          <w:tcPr>
            <w:tcW w:type="dxa" w:w="4320"/>
          </w:tcPr>
          <w:p>
            <w:r>
              <w:rPr>
                <w:sz w:val="20"/>
              </w:rPr>
              <w:t>14</w:t>
            </w:r>
          </w:p>
        </w:tc>
      </w:tr>
      <w:tr>
        <w:tc>
          <w:tcPr>
            <w:tcW w:type="dxa" w:w="4320"/>
          </w:tcPr>
          <w:p>
            <w:r>
              <w:rPr>
                <w:sz w:val="20"/>
              </w:rPr>
              <w:t>conv_kernel</w:t>
            </w:r>
          </w:p>
        </w:tc>
        <w:tc>
          <w:tcPr>
            <w:tcW w:type="dxa" w:w="4320"/>
          </w:tcPr>
          <w:p>
            <w:r>
              <w:rPr>
                <w:sz w:val="20"/>
              </w:rPr>
              <w:t>31</w:t>
            </w:r>
          </w:p>
        </w:tc>
      </w:tr>
      <w:tr>
        <w:tc>
          <w:tcPr>
            <w:tcW w:type="dxa" w:w="4320"/>
          </w:tcPr>
          <w:p>
            <w:r>
              <w:rPr>
                <w:sz w:val="20"/>
              </w:rPr>
              <w:t>Parameters</w:t>
            </w:r>
          </w:p>
        </w:tc>
        <w:tc>
          <w:tcPr>
            <w:tcW w:type="dxa" w:w="4320"/>
          </w:tcPr>
          <w:p>
            <w:r>
              <w:rPr>
                <w:sz w:val="20"/>
              </w:rPr>
              <w:t>419.5M</w:t>
            </w:r>
          </w:p>
        </w:tc>
      </w:tr>
      <w:tr>
        <w:tc>
          <w:tcPr>
            <w:tcW w:type="dxa" w:w="4320"/>
          </w:tcPr>
          <w:p>
            <w:r>
              <w:rPr>
                <w:sz w:val="20"/>
              </w:rPr>
              <w:t>batch_size</w:t>
            </w:r>
          </w:p>
        </w:tc>
        <w:tc>
          <w:tcPr>
            <w:tcW w:type="dxa" w:w="4320"/>
          </w:tcPr>
          <w:p>
            <w:r>
              <w:rPr>
                <w:sz w:val="20"/>
              </w:rPr>
              <w:t>128</w:t>
            </w:r>
          </w:p>
        </w:tc>
      </w:tr>
      <w:tr>
        <w:tc>
          <w:tcPr>
            <w:tcW w:type="dxa" w:w="4320"/>
          </w:tcPr>
          <w:p>
            <w:r>
              <w:rPr>
                <w:sz w:val="20"/>
              </w:rPr>
              <w:t>seq_len</w:t>
            </w:r>
          </w:p>
        </w:tc>
        <w:tc>
          <w:tcPr>
            <w:tcW w:type="dxa" w:w="4320"/>
          </w:tcPr>
          <w:p>
            <w:r>
              <w:rPr>
                <w:sz w:val="20"/>
              </w:rPr>
              <w:t>128</w:t>
            </w:r>
          </w:p>
        </w:tc>
      </w:tr>
      <w:tr>
        <w:tc>
          <w:tcPr>
            <w:tcW w:type="dxa" w:w="4320"/>
          </w:tcPr>
          <w:p>
            <w:r>
              <w:rPr>
                <w:sz w:val="20"/>
              </w:rPr>
              <w:t>lr</w:t>
            </w:r>
          </w:p>
        </w:tc>
        <w:tc>
          <w:tcPr>
            <w:tcW w:type="dxa" w:w="4320"/>
          </w:tcPr>
          <w:p>
            <w:r>
              <w:rPr>
                <w:sz w:val="20"/>
              </w:rPr>
              <w:t>1e-4</w:t>
            </w:r>
          </w:p>
        </w:tc>
      </w:tr>
      <w:tr>
        <w:tc>
          <w:tcPr>
            <w:tcW w:type="dxa" w:w="4320"/>
          </w:tcPr>
          <w:p>
            <w:r>
              <w:rPr>
                <w:sz w:val="20"/>
              </w:rPr>
              <w:t>corrupt_ratio</w:t>
            </w:r>
          </w:p>
        </w:tc>
        <w:tc>
          <w:tcPr>
            <w:tcW w:type="dxa" w:w="4320"/>
          </w:tcPr>
          <w:p>
            <w:r>
              <w:rPr>
                <w:sz w:val="20"/>
              </w:rPr>
              <w:t>0.50</w:t>
            </w:r>
          </w:p>
        </w:tc>
      </w:tr>
      <w:tr>
        <w:tc>
          <w:tcPr>
            <w:tcW w:type="dxa" w:w="4320"/>
          </w:tcPr>
          <w:p>
            <w:r>
              <w:rPr>
                <w:sz w:val="20"/>
              </w:rPr>
              <w:t>corrupt_ratio_hi</w:t>
            </w:r>
          </w:p>
        </w:tc>
        <w:tc>
          <w:tcPr>
            <w:tcW w:type="dxa" w:w="4320"/>
          </w:tcPr>
          <w:p>
            <w:r>
              <w:rPr>
                <w:sz w:val="20"/>
              </w:rPr>
              <w:t>0.20</w:t>
            </w:r>
          </w:p>
        </w:tc>
      </w:tr>
      <w:tr>
        <w:tc>
          <w:tcPr>
            <w:tcW w:type="dxa" w:w="4320"/>
          </w:tcPr>
          <w:p>
            <w:r>
              <w:rPr>
                <w:sz w:val="20"/>
              </w:rPr>
              <w:t>faiss_frac</w:t>
            </w:r>
          </w:p>
        </w:tc>
        <w:tc>
          <w:tcPr>
            <w:tcW w:type="dxa" w:w="4320"/>
          </w:tcPr>
          <w:p>
            <w:r>
              <w:rPr>
                <w:sz w:val="20"/>
              </w:rPr>
              <w:t>0.90</w:t>
            </w:r>
          </w:p>
        </w:tc>
      </w:tr>
      <w:tr>
        <w:tc>
          <w:tcPr>
            <w:tcW w:type="dxa" w:w="4320"/>
          </w:tcPr>
          <w:p>
            <w:r>
              <w:rPr>
                <w:sz w:val="20"/>
              </w:rPr>
              <w:t>focal_gamma</w:t>
            </w:r>
          </w:p>
        </w:tc>
        <w:tc>
          <w:tcPr>
            <w:tcW w:type="dxa" w:w="4320"/>
          </w:tcPr>
          <w:p>
            <w:r>
              <w:rPr>
                <w:sz w:val="20"/>
              </w:rPr>
              <w:t>1.0</w:t>
            </w:r>
          </w:p>
        </w:tc>
      </w:tr>
      <w:tr>
        <w:tc>
          <w:tcPr>
            <w:tcW w:type="dxa" w:w="4320"/>
          </w:tcPr>
          <w:p>
            <w:r>
              <w:rPr>
                <w:sz w:val="20"/>
              </w:rPr>
              <w:t>steps</w:t>
            </w:r>
          </w:p>
        </w:tc>
        <w:tc>
          <w:tcPr>
            <w:tcW w:type="dxa" w:w="4320"/>
          </w:tcPr>
          <w:p>
            <w:r>
              <w:rPr>
                <w:sz w:val="20"/>
              </w:rPr>
              <w:t>30,000</w:t>
            </w:r>
          </w:p>
        </w:tc>
      </w:tr>
      <w:tr>
        <w:tc>
          <w:tcPr>
            <w:tcW w:type="dxa" w:w="4320"/>
          </w:tcPr>
          <w:p>
            <w:r>
              <w:rPr>
                <w:sz w:val="20"/>
              </w:rPr>
              <w:t>Training time</w:t>
            </w:r>
          </w:p>
        </w:tc>
        <w:tc>
          <w:tcPr>
            <w:tcW w:type="dxa" w:w="4320"/>
          </w:tcPr>
          <w:p>
            <w:r>
              <w:rPr>
                <w:sz w:val="20"/>
              </w:rPr>
              <w:t>741.5 min</w:t>
            </w:r>
          </w:p>
        </w:tc>
      </w:tr>
    </w:tbl>
    <w:p/>
    <w:p>
      <w:pPr>
        <w:spacing w:after="120"/>
      </w:pPr>
      <w:r>
        <w:rPr>
          <w:b/>
          <w:i w:val="0"/>
          <w:sz w:val="22"/>
        </w:rPr>
        <w:t>Loss progression (key milestones):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Step</w:t>
            </w:r>
          </w:p>
        </w:tc>
        <w:tc>
          <w:tcPr>
            <w:tcW w:type="dxa" w:w="1728"/>
          </w:tcPr>
          <w:p>
            <w:pPr>
              <w:jc w:val="center"/>
            </w:pPr>
            <w:r>
              <w:rPr>
                <w:b/>
                <w:sz w:val="20"/>
              </w:rPr>
              <w:t>Loss</w:t>
            </w:r>
          </w:p>
        </w:tc>
        <w:tc>
          <w:tcPr>
            <w:tcW w:type="dxa" w:w="1728"/>
          </w:tcPr>
          <w:p>
            <w:pPr>
              <w:jc w:val="center"/>
            </w:pPr>
            <w:r>
              <w:rPr>
                <w:b/>
                <w:sz w:val="20"/>
              </w:rPr>
              <w:t>CB1 acc</w:t>
            </w:r>
          </w:p>
        </w:tc>
        <w:tc>
          <w:tcPr>
            <w:tcW w:type="dxa" w:w="1728"/>
          </w:tcPr>
          <w:p>
            <w:pPr>
              <w:jc w:val="center"/>
            </w:pPr>
            <w:r>
              <w:rPr>
                <w:b/>
                <w:sz w:val="20"/>
              </w:rPr>
              <w:t>CB18 acc</w:t>
            </w:r>
          </w:p>
        </w:tc>
        <w:tc>
          <w:tcPr>
            <w:tcW w:type="dxa" w:w="1728"/>
          </w:tcPr>
          <w:p>
            <w:pPr>
              <w:jc w:val="center"/>
            </w:pPr>
            <w:r>
              <w:rPr>
                <w:b/>
                <w:sz w:val="20"/>
              </w:rPr>
              <w:t>GPU%</w:t>
            </w:r>
          </w:p>
        </w:tc>
      </w:tr>
      <w:tr>
        <w:tc>
          <w:tcPr>
            <w:tcW w:type="dxa" w:w="1728"/>
          </w:tcPr>
          <w:p>
            <w:pPr>
              <w:jc w:val="center"/>
            </w:pPr>
            <w:r>
              <w:rPr>
                <w:sz w:val="20"/>
              </w:rPr>
              <w:t>200</w:t>
            </w:r>
          </w:p>
        </w:tc>
        <w:tc>
          <w:tcPr>
            <w:tcW w:type="dxa" w:w="1728"/>
          </w:tcPr>
          <w:p>
            <w:pPr>
              <w:jc w:val="center"/>
            </w:pPr>
            <w:r>
              <w:rPr>
                <w:sz w:val="20"/>
              </w:rPr>
              <w:t>7.270</w:t>
            </w:r>
          </w:p>
        </w:tc>
        <w:tc>
          <w:tcPr>
            <w:tcW w:type="dxa" w:w="1728"/>
          </w:tcPr>
          <w:p>
            <w:pPr>
              <w:jc w:val="center"/>
            </w:pPr>
            <w:r>
              <w:rPr>
                <w:sz w:val="20"/>
              </w:rPr>
              <w:t>2%</w:t>
            </w:r>
          </w:p>
        </w:tc>
        <w:tc>
          <w:tcPr>
            <w:tcW w:type="dxa" w:w="1728"/>
          </w:tcPr>
          <w:p>
            <w:pPr>
              <w:jc w:val="center"/>
            </w:pPr>
            <w:r>
              <w:rPr>
                <w:sz w:val="20"/>
              </w:rPr>
              <w:t>2%</w:t>
            </w:r>
          </w:p>
        </w:tc>
        <w:tc>
          <w:tcPr>
            <w:tcW w:type="dxa" w:w="1728"/>
          </w:tcPr>
          <w:p>
            <w:pPr>
              <w:jc w:val="center"/>
            </w:pPr>
            <w:r>
              <w:rPr>
                <w:sz w:val="20"/>
              </w:rPr>
              <w:t>14%</w:t>
            </w:r>
          </w:p>
        </w:tc>
      </w:tr>
      <w:tr>
        <w:tc>
          <w:tcPr>
            <w:tcW w:type="dxa" w:w="1728"/>
          </w:tcPr>
          <w:p>
            <w:pPr>
              <w:jc w:val="center"/>
            </w:pPr>
            <w:r>
              <w:rPr>
                <w:sz w:val="20"/>
              </w:rPr>
              <w:t>400</w:t>
            </w:r>
          </w:p>
        </w:tc>
        <w:tc>
          <w:tcPr>
            <w:tcW w:type="dxa" w:w="1728"/>
          </w:tcPr>
          <w:p>
            <w:pPr>
              <w:jc w:val="center"/>
            </w:pPr>
            <w:r>
              <w:rPr>
                <w:sz w:val="20"/>
              </w:rPr>
              <w:t>6.889</w:t>
            </w:r>
          </w:p>
        </w:tc>
        <w:tc>
          <w:tcPr>
            <w:tcW w:type="dxa" w:w="1728"/>
          </w:tcPr>
          <w:p>
            <w:pPr>
              <w:jc w:val="center"/>
            </w:pPr>
            <w:r>
              <w:rPr>
                <w:sz w:val="20"/>
              </w:rPr>
              <w:t>4%</w:t>
            </w:r>
          </w:p>
        </w:tc>
        <w:tc>
          <w:tcPr>
            <w:tcW w:type="dxa" w:w="1728"/>
          </w:tcPr>
          <w:p>
            <w:pPr>
              <w:jc w:val="center"/>
            </w:pPr>
            <w:r>
              <w:rPr>
                <w:sz w:val="20"/>
              </w:rPr>
              <w:t>2%</w:t>
            </w:r>
          </w:p>
        </w:tc>
        <w:tc>
          <w:tcPr>
            <w:tcW w:type="dxa" w:w="1728"/>
          </w:tcPr>
          <w:p>
            <w:pPr>
              <w:jc w:val="center"/>
            </w:pPr>
            <w:r>
              <w:rPr>
                <w:sz w:val="20"/>
              </w:rPr>
              <w:t>35%</w:t>
            </w:r>
          </w:p>
        </w:tc>
      </w:tr>
      <w:tr>
        <w:tc>
          <w:tcPr>
            <w:tcW w:type="dxa" w:w="1728"/>
          </w:tcPr>
          <w:p>
            <w:pPr>
              <w:jc w:val="center"/>
            </w:pPr>
            <w:r>
              <w:rPr>
                <w:sz w:val="20"/>
              </w:rPr>
              <w:t>800</w:t>
            </w:r>
          </w:p>
        </w:tc>
        <w:tc>
          <w:tcPr>
            <w:tcW w:type="dxa" w:w="1728"/>
          </w:tcPr>
          <w:p>
            <w:pPr>
              <w:jc w:val="center"/>
            </w:pPr>
            <w:r>
              <w:rPr>
                <w:sz w:val="20"/>
              </w:rPr>
              <w:t>6.516</w:t>
            </w:r>
          </w:p>
        </w:tc>
        <w:tc>
          <w:tcPr>
            <w:tcW w:type="dxa" w:w="1728"/>
          </w:tcPr>
          <w:p>
            <w:pPr>
              <w:jc w:val="center"/>
            </w:pPr>
            <w:r>
              <w:rPr>
                <w:sz w:val="20"/>
              </w:rPr>
              <w:t>6%</w:t>
            </w:r>
          </w:p>
        </w:tc>
        <w:tc>
          <w:tcPr>
            <w:tcW w:type="dxa" w:w="1728"/>
          </w:tcPr>
          <w:p>
            <w:pPr>
              <w:jc w:val="center"/>
            </w:pPr>
            <w:r>
              <w:rPr>
                <w:sz w:val="20"/>
              </w:rPr>
              <w:t>3%</w:t>
            </w:r>
          </w:p>
        </w:tc>
        <w:tc>
          <w:tcPr>
            <w:tcW w:type="dxa" w:w="1728"/>
          </w:tcPr>
          <w:p>
            <w:pPr>
              <w:jc w:val="center"/>
            </w:pPr>
            <w:r>
              <w:rPr>
                <w:sz w:val="20"/>
              </w:rPr>
              <w:t>82%</w:t>
            </w:r>
          </w:p>
        </w:tc>
      </w:tr>
      <w:tr>
        <w:tc>
          <w:tcPr>
            <w:tcW w:type="dxa" w:w="1728"/>
          </w:tcPr>
          <w:p>
            <w:pPr>
              <w:jc w:val="center"/>
            </w:pPr>
            <w:r>
              <w:rPr>
                <w:sz w:val="20"/>
              </w:rPr>
              <w:t>1000</w:t>
            </w:r>
          </w:p>
        </w:tc>
        <w:tc>
          <w:tcPr>
            <w:tcW w:type="dxa" w:w="1728"/>
          </w:tcPr>
          <w:p>
            <w:pPr>
              <w:jc w:val="center"/>
            </w:pPr>
            <w:r>
              <w:rPr>
                <w:sz w:val="20"/>
              </w:rPr>
              <w:t>6.452</w:t>
            </w:r>
          </w:p>
        </w:tc>
        <w:tc>
          <w:tcPr>
            <w:tcW w:type="dxa" w:w="1728"/>
          </w:tcPr>
          <w:p>
            <w:pPr>
              <w:jc w:val="center"/>
            </w:pPr>
            <w:r>
              <w:rPr>
                <w:sz w:val="20"/>
              </w:rPr>
              <w:t>7%</w:t>
            </w:r>
          </w:p>
        </w:tc>
        <w:tc>
          <w:tcPr>
            <w:tcW w:type="dxa" w:w="1728"/>
          </w:tcPr>
          <w:p>
            <w:pPr>
              <w:jc w:val="center"/>
            </w:pPr>
            <w:r>
              <w:rPr>
                <w:sz w:val="20"/>
              </w:rPr>
              <w:t>2%</w:t>
            </w:r>
          </w:p>
        </w:tc>
        <w:tc>
          <w:tcPr>
            <w:tcW w:type="dxa" w:w="1728"/>
          </w:tcPr>
          <w:p>
            <w:pPr>
              <w:jc w:val="center"/>
            </w:pPr>
            <w:r>
              <w:rPr>
                <w:sz w:val="20"/>
              </w:rPr>
              <w:t>60%</w:t>
            </w:r>
          </w:p>
        </w:tc>
      </w:tr>
      <w:tr>
        <w:tc>
          <w:tcPr>
            <w:tcW w:type="dxa" w:w="1728"/>
          </w:tcPr>
          <w:p>
            <w:pPr>
              <w:jc w:val="center"/>
            </w:pPr>
            <w:r>
              <w:rPr>
                <w:sz w:val="20"/>
              </w:rPr>
              <w:t>2000</w:t>
            </w:r>
          </w:p>
        </w:tc>
        <w:tc>
          <w:tcPr>
            <w:tcW w:type="dxa" w:w="1728"/>
          </w:tcPr>
          <w:p>
            <w:pPr>
              <w:jc w:val="center"/>
            </w:pPr>
            <w:r>
              <w:rPr>
                <w:sz w:val="20"/>
              </w:rPr>
              <w:t>6.278</w:t>
            </w:r>
          </w:p>
        </w:tc>
        <w:tc>
          <w:tcPr>
            <w:tcW w:type="dxa" w:w="1728"/>
          </w:tcPr>
          <w:p>
            <w:pPr>
              <w:jc w:val="center"/>
            </w:pPr>
            <w:r>
              <w:rPr>
                <w:sz w:val="20"/>
              </w:rPr>
              <w:t>9%</w:t>
            </w:r>
          </w:p>
        </w:tc>
        <w:tc>
          <w:tcPr>
            <w:tcW w:type="dxa" w:w="1728"/>
          </w:tcPr>
          <w:p>
            <w:pPr>
              <w:jc w:val="center"/>
            </w:pPr>
            <w:r>
              <w:rPr>
                <w:sz w:val="20"/>
              </w:rPr>
              <w:t>3%</w:t>
            </w:r>
          </w:p>
        </w:tc>
        <w:tc>
          <w:tcPr>
            <w:tcW w:type="dxa" w:w="1728"/>
          </w:tcPr>
          <w:p>
            <w:pPr>
              <w:jc w:val="center"/>
            </w:pPr>
            <w:r>
              <w:rPr>
                <w:sz w:val="20"/>
              </w:rPr>
              <w:t>1%</w:t>
            </w:r>
          </w:p>
        </w:tc>
      </w:tr>
      <w:tr>
        <w:tc>
          <w:tcPr>
            <w:tcW w:type="dxa" w:w="1728"/>
          </w:tcPr>
          <w:p>
            <w:pPr>
              <w:jc w:val="center"/>
            </w:pPr>
            <w:r>
              <w:rPr>
                <w:sz w:val="20"/>
              </w:rPr>
              <w:t>6000</w:t>
            </w:r>
          </w:p>
        </w:tc>
        <w:tc>
          <w:tcPr>
            <w:tcW w:type="dxa" w:w="1728"/>
          </w:tcPr>
          <w:p>
            <w:pPr>
              <w:jc w:val="center"/>
            </w:pPr>
            <w:r>
              <w:rPr>
                <w:sz w:val="20"/>
              </w:rPr>
              <w:t>5.881</w:t>
            </w:r>
          </w:p>
        </w:tc>
        <w:tc>
          <w:tcPr>
            <w:tcW w:type="dxa" w:w="1728"/>
          </w:tcPr>
          <w:p>
            <w:pPr>
              <w:jc w:val="center"/>
            </w:pPr>
            <w:r>
              <w:rPr>
                <w:sz w:val="20"/>
              </w:rPr>
              <w:t>18%</w:t>
            </w:r>
          </w:p>
        </w:tc>
        <w:tc>
          <w:tcPr>
            <w:tcW w:type="dxa" w:w="1728"/>
          </w:tcPr>
          <w:p>
            <w:pPr>
              <w:jc w:val="center"/>
            </w:pPr>
            <w:r>
              <w:rPr>
                <w:sz w:val="20"/>
              </w:rPr>
              <w:t>3%</w:t>
            </w:r>
          </w:p>
        </w:tc>
        <w:tc>
          <w:tcPr>
            <w:tcW w:type="dxa" w:w="1728"/>
          </w:tcPr>
          <w:p>
            <w:pPr>
              <w:jc w:val="center"/>
            </w:pPr>
            <w:r>
              <w:rPr>
                <w:sz w:val="20"/>
              </w:rPr>
              <w:t>0%</w:t>
            </w:r>
          </w:p>
        </w:tc>
      </w:tr>
      <w:tr>
        <w:tc>
          <w:tcPr>
            <w:tcW w:type="dxa" w:w="1728"/>
          </w:tcPr>
          <w:p>
            <w:pPr>
              <w:jc w:val="center"/>
            </w:pPr>
            <w:r>
              <w:rPr>
                <w:sz w:val="20"/>
              </w:rPr>
              <w:t>10000</w:t>
            </w:r>
          </w:p>
        </w:tc>
        <w:tc>
          <w:tcPr>
            <w:tcW w:type="dxa" w:w="1728"/>
          </w:tcPr>
          <w:p>
            <w:pPr>
              <w:jc w:val="center"/>
            </w:pPr>
            <w:r>
              <w:rPr>
                <w:sz w:val="20"/>
              </w:rPr>
              <w:t>5.462</w:t>
            </w:r>
          </w:p>
        </w:tc>
        <w:tc>
          <w:tcPr>
            <w:tcW w:type="dxa" w:w="1728"/>
          </w:tcPr>
          <w:p>
            <w:pPr>
              <w:jc w:val="center"/>
            </w:pPr>
            <w:r>
              <w:rPr>
                <w:sz w:val="20"/>
              </w:rPr>
              <w:t>27%</w:t>
            </w:r>
          </w:p>
        </w:tc>
        <w:tc>
          <w:tcPr>
            <w:tcW w:type="dxa" w:w="1728"/>
          </w:tcPr>
          <w:p>
            <w:pPr>
              <w:jc w:val="center"/>
            </w:pPr>
            <w:r>
              <w:rPr>
                <w:sz w:val="20"/>
              </w:rPr>
              <w:t>4%</w:t>
            </w:r>
          </w:p>
        </w:tc>
        <w:tc>
          <w:tcPr>
            <w:tcW w:type="dxa" w:w="1728"/>
          </w:tcPr>
          <w:p>
            <w:pPr>
              <w:jc w:val="center"/>
            </w:pPr>
            <w:r>
              <w:rPr>
                <w:sz w:val="20"/>
              </w:rPr>
              <w:t>2%</w:t>
            </w:r>
          </w:p>
        </w:tc>
      </w:tr>
      <w:tr>
        <w:tc>
          <w:tcPr>
            <w:tcW w:type="dxa" w:w="1728"/>
          </w:tcPr>
          <w:p>
            <w:pPr>
              <w:jc w:val="center"/>
            </w:pPr>
            <w:r>
              <w:rPr>
                <w:sz w:val="20"/>
              </w:rPr>
              <w:t>14000</w:t>
            </w:r>
          </w:p>
        </w:tc>
        <w:tc>
          <w:tcPr>
            <w:tcW w:type="dxa" w:w="1728"/>
          </w:tcPr>
          <w:p>
            <w:pPr>
              <w:jc w:val="center"/>
            </w:pPr>
            <w:r>
              <w:rPr>
                <w:sz w:val="20"/>
              </w:rPr>
              <w:t>5.158</w:t>
            </w:r>
          </w:p>
        </w:tc>
        <w:tc>
          <w:tcPr>
            <w:tcW w:type="dxa" w:w="1728"/>
          </w:tcPr>
          <w:p>
            <w:pPr>
              <w:jc w:val="center"/>
            </w:pPr>
            <w:r>
              <w:rPr>
                <w:sz w:val="20"/>
              </w:rPr>
              <w:t>33%</w:t>
            </w:r>
          </w:p>
        </w:tc>
        <w:tc>
          <w:tcPr>
            <w:tcW w:type="dxa" w:w="1728"/>
          </w:tcPr>
          <w:p>
            <w:pPr>
              <w:jc w:val="center"/>
            </w:pPr>
            <w:r>
              <w:rPr>
                <w:sz w:val="20"/>
              </w:rPr>
              <w:t>5%</w:t>
            </w:r>
          </w:p>
        </w:tc>
        <w:tc>
          <w:tcPr>
            <w:tcW w:type="dxa" w:w="1728"/>
          </w:tcPr>
          <w:p>
            <w:pPr>
              <w:jc w:val="center"/>
            </w:pPr>
            <w:r>
              <w:rPr>
                <w:sz w:val="20"/>
              </w:rPr>
              <w:t>5%</w:t>
            </w:r>
          </w:p>
        </w:tc>
      </w:tr>
      <w:tr>
        <w:tc>
          <w:tcPr>
            <w:tcW w:type="dxa" w:w="1728"/>
          </w:tcPr>
          <w:p>
            <w:pPr>
              <w:jc w:val="center"/>
            </w:pPr>
            <w:r>
              <w:rPr>
                <w:sz w:val="20"/>
              </w:rPr>
              <w:t>18000</w:t>
            </w:r>
          </w:p>
        </w:tc>
        <w:tc>
          <w:tcPr>
            <w:tcW w:type="dxa" w:w="1728"/>
          </w:tcPr>
          <w:p>
            <w:pPr>
              <w:jc w:val="center"/>
            </w:pPr>
            <w:r>
              <w:rPr>
                <w:sz w:val="20"/>
              </w:rPr>
              <w:t>4.947</w:t>
            </w:r>
          </w:p>
        </w:tc>
        <w:tc>
          <w:tcPr>
            <w:tcW w:type="dxa" w:w="1728"/>
          </w:tcPr>
          <w:p>
            <w:pPr>
              <w:jc w:val="center"/>
            </w:pPr>
            <w:r>
              <w:rPr>
                <w:sz w:val="20"/>
              </w:rPr>
              <w:t>37%</w:t>
            </w:r>
          </w:p>
        </w:tc>
        <w:tc>
          <w:tcPr>
            <w:tcW w:type="dxa" w:w="1728"/>
          </w:tcPr>
          <w:p>
            <w:pPr>
              <w:jc w:val="center"/>
            </w:pPr>
            <w:r>
              <w:rPr>
                <w:sz w:val="20"/>
              </w:rPr>
              <w:t>6%</w:t>
            </w:r>
          </w:p>
        </w:tc>
        <w:tc>
          <w:tcPr>
            <w:tcW w:type="dxa" w:w="1728"/>
          </w:tcPr>
          <w:p>
            <w:pPr>
              <w:jc w:val="center"/>
            </w:pPr>
            <w:r>
              <w:rPr>
                <w:sz w:val="20"/>
              </w:rPr>
              <w:t>5%</w:t>
            </w:r>
          </w:p>
        </w:tc>
      </w:tr>
      <w:tr>
        <w:tc>
          <w:tcPr>
            <w:tcW w:type="dxa" w:w="1728"/>
          </w:tcPr>
          <w:p>
            <w:pPr>
              <w:jc w:val="center"/>
            </w:pPr>
            <w:r>
              <w:rPr>
                <w:sz w:val="20"/>
              </w:rPr>
              <w:t>22000</w:t>
            </w:r>
          </w:p>
        </w:tc>
        <w:tc>
          <w:tcPr>
            <w:tcW w:type="dxa" w:w="1728"/>
          </w:tcPr>
          <w:p>
            <w:pPr>
              <w:jc w:val="center"/>
            </w:pPr>
            <w:r>
              <w:rPr>
                <w:sz w:val="20"/>
              </w:rPr>
              <w:t>4.820</w:t>
            </w:r>
          </w:p>
        </w:tc>
        <w:tc>
          <w:tcPr>
            <w:tcW w:type="dxa" w:w="1728"/>
          </w:tcPr>
          <w:p>
            <w:pPr>
              <w:jc w:val="center"/>
            </w:pPr>
            <w:r>
              <w:rPr>
                <w:sz w:val="20"/>
              </w:rPr>
              <w:t>39%</w:t>
            </w:r>
          </w:p>
        </w:tc>
        <w:tc>
          <w:tcPr>
            <w:tcW w:type="dxa" w:w="1728"/>
          </w:tcPr>
          <w:p>
            <w:pPr>
              <w:jc w:val="center"/>
            </w:pPr>
            <w:r>
              <w:rPr>
                <w:sz w:val="20"/>
              </w:rPr>
              <w:t>6%</w:t>
            </w:r>
          </w:p>
        </w:tc>
        <w:tc>
          <w:tcPr>
            <w:tcW w:type="dxa" w:w="1728"/>
          </w:tcPr>
          <w:p>
            <w:pPr>
              <w:jc w:val="center"/>
            </w:pPr>
            <w:r>
              <w:rPr>
                <w:sz w:val="20"/>
              </w:rPr>
              <w:t>0%</w:t>
            </w:r>
          </w:p>
        </w:tc>
      </w:tr>
      <w:tr>
        <w:tc>
          <w:tcPr>
            <w:tcW w:type="dxa" w:w="1728"/>
          </w:tcPr>
          <w:p>
            <w:pPr>
              <w:jc w:val="center"/>
            </w:pPr>
            <w:r>
              <w:rPr>
                <w:sz w:val="20"/>
              </w:rPr>
              <w:t>26000</w:t>
            </w:r>
          </w:p>
        </w:tc>
        <w:tc>
          <w:tcPr>
            <w:tcW w:type="dxa" w:w="1728"/>
          </w:tcPr>
          <w:p>
            <w:pPr>
              <w:jc w:val="center"/>
            </w:pPr>
            <w:r>
              <w:rPr>
                <w:sz w:val="20"/>
              </w:rPr>
              <w:t>4.770</w:t>
            </w:r>
          </w:p>
        </w:tc>
        <w:tc>
          <w:tcPr>
            <w:tcW w:type="dxa" w:w="1728"/>
          </w:tcPr>
          <w:p>
            <w:pPr>
              <w:jc w:val="center"/>
            </w:pPr>
            <w:r>
              <w:rPr>
                <w:sz w:val="20"/>
              </w:rPr>
              <w:t>41%</w:t>
            </w:r>
          </w:p>
        </w:tc>
        <w:tc>
          <w:tcPr>
            <w:tcW w:type="dxa" w:w="1728"/>
          </w:tcPr>
          <w:p>
            <w:pPr>
              <w:jc w:val="center"/>
            </w:pPr>
            <w:r>
              <w:rPr>
                <w:sz w:val="20"/>
              </w:rPr>
              <w:t>7%</w:t>
            </w:r>
          </w:p>
        </w:tc>
        <w:tc>
          <w:tcPr>
            <w:tcW w:type="dxa" w:w="1728"/>
          </w:tcPr>
          <w:p>
            <w:pPr>
              <w:jc w:val="center"/>
            </w:pPr>
            <w:r>
              <w:rPr>
                <w:sz w:val="20"/>
              </w:rPr>
              <w:t>4%</w:t>
            </w:r>
          </w:p>
        </w:tc>
      </w:tr>
      <w:tr>
        <w:tc>
          <w:tcPr>
            <w:tcW w:type="dxa" w:w="1728"/>
          </w:tcPr>
          <w:p>
            <w:pPr>
              <w:jc w:val="center"/>
            </w:pPr>
            <w:r>
              <w:rPr>
                <w:sz w:val="20"/>
              </w:rPr>
              <w:t>28000</w:t>
            </w:r>
          </w:p>
        </w:tc>
        <w:tc>
          <w:tcPr>
            <w:tcW w:type="dxa" w:w="1728"/>
          </w:tcPr>
          <w:p>
            <w:pPr>
              <w:jc w:val="center"/>
            </w:pPr>
            <w:r>
              <w:rPr>
                <w:sz w:val="20"/>
              </w:rPr>
              <w:t>4.763</w:t>
            </w:r>
          </w:p>
        </w:tc>
        <w:tc>
          <w:tcPr>
            <w:tcW w:type="dxa" w:w="1728"/>
          </w:tcPr>
          <w:p>
            <w:pPr>
              <w:jc w:val="center"/>
            </w:pPr>
            <w:r>
              <w:rPr>
                <w:sz w:val="20"/>
              </w:rPr>
              <w:t>40%</w:t>
            </w:r>
          </w:p>
        </w:tc>
        <w:tc>
          <w:tcPr>
            <w:tcW w:type="dxa" w:w="1728"/>
          </w:tcPr>
          <w:p>
            <w:pPr>
              <w:jc w:val="center"/>
            </w:pPr>
            <w:r>
              <w:rPr>
                <w:sz w:val="20"/>
              </w:rPr>
              <w:t>7%</w:t>
            </w:r>
          </w:p>
        </w:tc>
        <w:tc>
          <w:tcPr>
            <w:tcW w:type="dxa" w:w="1728"/>
          </w:tcPr>
          <w:p>
            <w:pPr>
              <w:jc w:val="center"/>
            </w:pPr>
            <w:r>
              <w:rPr>
                <w:sz w:val="20"/>
              </w:rPr>
              <w:t>100%</w:t>
            </w:r>
          </w:p>
        </w:tc>
      </w:tr>
      <w:tr>
        <w:tc>
          <w:tcPr>
            <w:tcW w:type="dxa" w:w="1728"/>
          </w:tcPr>
          <w:p>
            <w:pPr>
              <w:jc w:val="center"/>
            </w:pPr>
            <w:r>
              <w:rPr>
                <w:sz w:val="20"/>
              </w:rPr>
              <w:t>30000</w:t>
            </w:r>
          </w:p>
        </w:tc>
        <w:tc>
          <w:tcPr>
            <w:tcW w:type="dxa" w:w="1728"/>
          </w:tcPr>
          <w:p>
            <w:pPr>
              <w:jc w:val="center"/>
            </w:pPr>
            <w:r>
              <w:rPr>
                <w:sz w:val="20"/>
              </w:rPr>
              <w:t>4.761</w:t>
            </w:r>
          </w:p>
        </w:tc>
        <w:tc>
          <w:tcPr>
            <w:tcW w:type="dxa" w:w="1728"/>
          </w:tcPr>
          <w:p>
            <w:pPr>
              <w:jc w:val="center"/>
            </w:pPr>
            <w:r>
              <w:rPr>
                <w:sz w:val="20"/>
              </w:rPr>
              <w:t>40%</w:t>
            </w:r>
          </w:p>
        </w:tc>
        <w:tc>
          <w:tcPr>
            <w:tcW w:type="dxa" w:w="1728"/>
          </w:tcPr>
          <w:p>
            <w:pPr>
              <w:jc w:val="center"/>
            </w:pPr>
            <w:r>
              <w:rPr>
                <w:sz w:val="20"/>
              </w:rPr>
              <w:t>8%</w:t>
            </w:r>
          </w:p>
        </w:tc>
        <w:tc>
          <w:tcPr>
            <w:tcW w:type="dxa" w:w="1728"/>
          </w:tcPr>
          <w:p>
            <w:pPr>
              <w:jc w:val="center"/>
            </w:pPr>
            <w:r>
              <w:rPr>
                <w:sz w:val="20"/>
              </w:rPr>
              <w:t>100%</w:t>
            </w:r>
          </w:p>
        </w:tc>
      </w:tr>
    </w:tbl>
    <w:p/>
    <w:p>
      <w:pPr>
        <w:spacing w:after="120"/>
      </w:pPr>
      <w:r>
        <w:rPr>
          <w:b/>
          <w:i w:val="0"/>
          <w:sz w:val="22"/>
        </w:rPr>
        <w:t>Final CB accuracy summary (d_model=1024):</w:t>
      </w:r>
    </w:p>
    <w:p>
      <w:pPr>
        <w:spacing w:after="120"/>
      </w:pPr>
      <w:r>
        <w:rPr>
          <w:b w:val="0"/>
          <w:i w:val="0"/>
          <w:sz w:val="22"/>
        </w:rPr>
        <w:t>CB1: 40.5%  |  CB2: 20.7%  |  CB3: 18.3%  |  CB4: 14.8%  |  CB5: 14.1%  |  CB6: 13.7%  |  CB7: 12.5%  |  CB8: 11.5%  |  CB9: 10.7%  |  CB10: 10.6%  |  CB11: 9.5%  |  CB12: 8.6%  |  CB13: 8.5%  |  CB14: 8.4%  |  CB15: 8.3%  |  CB16: 8.9%  |  CB17: 7.6%  |  CB18: 7.6%</w:t>
      </w:r>
    </w:p>
    <w:p>
      <w:pPr>
        <w:spacing w:after="120"/>
      </w:pPr>
      <w:r>
        <w:rPr>
          <w:b/>
          <w:i w:val="0"/>
          <w:sz w:val="22"/>
        </w:rPr>
        <w:t>Evaluation results: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Method</w:t>
            </w:r>
          </w:p>
        </w:tc>
        <w:tc>
          <w:tcPr>
            <w:tcW w:type="dxa" w:w="2880"/>
          </w:tcPr>
          <w:p>
            <w:pPr>
              <w:jc w:val="center"/>
            </w:pPr>
            <w:r>
              <w:rPr>
                <w:b/>
                <w:sz w:val="20"/>
              </w:rPr>
              <w:t>SECS→target</w:t>
            </w:r>
          </w:p>
        </w:tc>
        <w:tc>
          <w:tcPr>
            <w:tcW w:type="dxa" w:w="2880"/>
          </w:tcPr>
          <w:p>
            <w:pPr>
              <w:jc w:val="center"/>
            </w:pPr>
            <w:r>
              <w:rPr>
                <w:b/>
                <w:sz w:val="20"/>
              </w:rPr>
              <w:t>MCD</w:t>
            </w:r>
          </w:p>
        </w:tc>
      </w:tr>
      <w:tr>
        <w:tc>
          <w:tcPr>
            <w:tcW w:type="dxa" w:w="2880"/>
          </w:tcPr>
          <w:p>
            <w:pPr>
              <w:jc w:val="center"/>
            </w:pPr>
            <w:r>
              <w:rPr>
                <w:sz w:val="20"/>
              </w:rPr>
              <w:t>FAISS baseline</w:t>
            </w:r>
          </w:p>
        </w:tc>
        <w:tc>
          <w:tcPr>
            <w:tcW w:type="dxa" w:w="2880"/>
          </w:tcPr>
          <w:p>
            <w:pPr>
              <w:jc w:val="center"/>
            </w:pPr>
            <w:r>
              <w:rPr>
                <w:sz w:val="20"/>
              </w:rPr>
              <w:t>0.8792</w:t>
            </w:r>
          </w:p>
        </w:tc>
        <w:tc>
          <w:tcPr>
            <w:tcW w:type="dxa" w:w="2880"/>
          </w:tcPr>
          <w:p>
            <w:pPr>
              <w:jc w:val="center"/>
            </w:pPr>
            <w:r>
              <w:rPr>
                <w:sz w:val="20"/>
              </w:rPr>
              <w:t>106.53</w:t>
            </w:r>
          </w:p>
        </w:tc>
      </w:tr>
      <w:tr>
        <w:tc>
          <w:tcPr>
            <w:tcW w:type="dxa" w:w="2880"/>
          </w:tcPr>
          <w:p>
            <w:pPr>
              <w:jc w:val="center"/>
            </w:pPr>
            <w:r>
              <w:rPr>
                <w:sz w:val="20"/>
              </w:rPr>
              <w:t>CRT-xlarge (1024)</w:t>
            </w:r>
          </w:p>
        </w:tc>
        <w:tc>
          <w:tcPr>
            <w:tcW w:type="dxa" w:w="2880"/>
          </w:tcPr>
          <w:p>
            <w:pPr>
              <w:jc w:val="center"/>
            </w:pPr>
            <w:r>
              <w:rPr>
                <w:sz w:val="20"/>
              </w:rPr>
              <w:t>0.7652</w:t>
            </w:r>
          </w:p>
        </w:tc>
        <w:tc>
          <w:tcPr>
            <w:tcW w:type="dxa" w:w="2880"/>
          </w:tcPr>
          <w:p>
            <w:pPr>
              <w:jc w:val="center"/>
            </w:pPr>
            <w:r>
              <w:rPr>
                <w:sz w:val="20"/>
              </w:rPr>
              <w:t>129.43</w:t>
            </w:r>
          </w:p>
        </w:tc>
      </w:tr>
    </w:tbl>
    <w:p/>
    <w:p>
      <w:pPr>
        <w:pStyle w:val="Heading1"/>
      </w:pPr>
      <w:r>
        <w:t>5. Comparative Analysis</w:t>
      </w:r>
    </w:p>
    <w:p>
      <w:pPr>
        <w:pStyle w:val="Heading2"/>
      </w:pPr>
      <w:r>
        <w:t>5.1 Model Size vs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Model</w:t>
            </w:r>
          </w:p>
        </w:tc>
        <w:tc>
          <w:tcPr>
            <w:tcW w:type="dxa" w:w="1440"/>
          </w:tcPr>
          <w:p>
            <w:pPr>
              <w:jc w:val="center"/>
            </w:pPr>
            <w:r>
              <w:rPr>
                <w:b/>
                <w:sz w:val="20"/>
              </w:rPr>
              <w:t>Params</w:t>
            </w:r>
          </w:p>
        </w:tc>
        <w:tc>
          <w:tcPr>
            <w:tcW w:type="dxa" w:w="1440"/>
          </w:tcPr>
          <w:p>
            <w:pPr>
              <w:jc w:val="center"/>
            </w:pPr>
            <w:r>
              <w:rPr>
                <w:b/>
                <w:sz w:val="20"/>
              </w:rPr>
              <w:t>Final Loss</w:t>
            </w:r>
          </w:p>
        </w:tc>
        <w:tc>
          <w:tcPr>
            <w:tcW w:type="dxa" w:w="1440"/>
          </w:tcPr>
          <w:p>
            <w:pPr>
              <w:jc w:val="center"/>
            </w:pPr>
            <w:r>
              <w:rPr>
                <w:b/>
                <w:sz w:val="20"/>
              </w:rPr>
              <w:t>CB1 acc</w:t>
            </w:r>
          </w:p>
        </w:tc>
        <w:tc>
          <w:tcPr>
            <w:tcW w:type="dxa" w:w="1440"/>
          </w:tcPr>
          <w:p>
            <w:pPr>
              <w:jc w:val="center"/>
            </w:pPr>
            <w:r>
              <w:rPr>
                <w:b/>
                <w:sz w:val="20"/>
              </w:rPr>
              <w:t>SECS</w:t>
            </w:r>
          </w:p>
        </w:tc>
        <w:tc>
          <w:tcPr>
            <w:tcW w:type="dxa" w:w="1440"/>
          </w:tcPr>
          <w:p>
            <w:pPr>
              <w:jc w:val="center"/>
            </w:pPr>
            <w:r>
              <w:rPr>
                <w:b/>
                <w:sz w:val="20"/>
              </w:rPr>
              <w:t>MCD</w:t>
            </w:r>
          </w:p>
        </w:tc>
      </w:tr>
      <w:tr>
        <w:tc>
          <w:tcPr>
            <w:tcW w:type="dxa" w:w="1440"/>
          </w:tcPr>
          <w:p>
            <w:pPr>
              <w:jc w:val="center"/>
            </w:pPr>
            <w:r>
              <w:rPr>
                <w:sz w:val="20"/>
              </w:rPr>
              <w:t>v5.3.1 768</w:t>
            </w:r>
          </w:p>
        </w:tc>
        <w:tc>
          <w:tcPr>
            <w:tcW w:type="dxa" w:w="1440"/>
          </w:tcPr>
          <w:p>
            <w:pPr>
              <w:jc w:val="center"/>
            </w:pPr>
            <w:r>
              <w:rPr>
                <w:sz w:val="20"/>
              </w:rPr>
              <w:t>250.7M</w:t>
            </w:r>
          </w:p>
        </w:tc>
        <w:tc>
          <w:tcPr>
            <w:tcW w:type="dxa" w:w="1440"/>
          </w:tcPr>
          <w:p>
            <w:pPr>
              <w:jc w:val="center"/>
            </w:pPr>
            <w:r>
              <w:rPr>
                <w:sz w:val="20"/>
              </w:rPr>
              <w:t>5.317</w:t>
            </w:r>
          </w:p>
        </w:tc>
        <w:tc>
          <w:tcPr>
            <w:tcW w:type="dxa" w:w="1440"/>
          </w:tcPr>
          <w:p>
            <w:pPr>
              <w:jc w:val="center"/>
            </w:pPr>
            <w:r>
              <w:rPr>
                <w:sz w:val="20"/>
              </w:rPr>
              <w:t>31.3%</w:t>
            </w:r>
          </w:p>
        </w:tc>
        <w:tc>
          <w:tcPr>
            <w:tcW w:type="dxa" w:w="1440"/>
          </w:tcPr>
          <w:p>
            <w:pPr>
              <w:jc w:val="center"/>
            </w:pPr>
            <w:r>
              <w:rPr>
                <w:sz w:val="20"/>
              </w:rPr>
              <w:t>0.7565</w:t>
            </w:r>
          </w:p>
        </w:tc>
        <w:tc>
          <w:tcPr>
            <w:tcW w:type="dxa" w:w="1440"/>
          </w:tcPr>
          <w:p>
            <w:pPr>
              <w:jc w:val="center"/>
            </w:pPr>
            <w:r>
              <w:rPr>
                <w:sz w:val="20"/>
              </w:rPr>
              <w:t>132.79</w:t>
            </w:r>
          </w:p>
        </w:tc>
      </w:tr>
      <w:tr>
        <w:tc>
          <w:tcPr>
            <w:tcW w:type="dxa" w:w="1440"/>
          </w:tcPr>
          <w:p>
            <w:pPr>
              <w:jc w:val="center"/>
            </w:pPr>
            <w:r>
              <w:rPr>
                <w:sz w:val="20"/>
              </w:rPr>
              <w:t>v5.3.1 1024</w:t>
            </w:r>
          </w:p>
        </w:tc>
        <w:tc>
          <w:tcPr>
            <w:tcW w:type="dxa" w:w="1440"/>
          </w:tcPr>
          <w:p>
            <w:pPr>
              <w:jc w:val="center"/>
            </w:pPr>
            <w:r>
              <w:rPr>
                <w:sz w:val="20"/>
              </w:rPr>
              <w:t>419.5M</w:t>
            </w:r>
          </w:p>
        </w:tc>
        <w:tc>
          <w:tcPr>
            <w:tcW w:type="dxa" w:w="1440"/>
          </w:tcPr>
          <w:p>
            <w:pPr>
              <w:jc w:val="center"/>
            </w:pPr>
            <w:r>
              <w:rPr>
                <w:sz w:val="20"/>
              </w:rPr>
              <w:t>4.761</w:t>
            </w:r>
          </w:p>
        </w:tc>
        <w:tc>
          <w:tcPr>
            <w:tcW w:type="dxa" w:w="1440"/>
          </w:tcPr>
          <w:p>
            <w:pPr>
              <w:jc w:val="center"/>
            </w:pPr>
            <w:r>
              <w:rPr>
                <w:sz w:val="20"/>
              </w:rPr>
              <w:t>40.5%</w:t>
            </w:r>
          </w:p>
        </w:tc>
        <w:tc>
          <w:tcPr>
            <w:tcW w:type="dxa" w:w="1440"/>
          </w:tcPr>
          <w:p>
            <w:pPr>
              <w:jc w:val="center"/>
            </w:pPr>
            <w:r>
              <w:rPr>
                <w:sz w:val="20"/>
              </w:rPr>
              <w:t>0.7652</w:t>
            </w:r>
          </w:p>
        </w:tc>
        <w:tc>
          <w:tcPr>
            <w:tcW w:type="dxa" w:w="1440"/>
          </w:tcPr>
          <w:p>
            <w:pPr>
              <w:jc w:val="center"/>
            </w:pPr>
            <w:r>
              <w:rPr>
                <w:sz w:val="20"/>
              </w:rPr>
              <w:t>129.43</w:t>
            </w:r>
          </w:p>
        </w:tc>
      </w:tr>
    </w:tbl>
    <w:p/>
    <w:p>
      <w:pPr>
        <w:spacing w:after="120"/>
      </w:pPr>
      <w:r>
        <w:rPr>
          <w:b w:val="0"/>
          <w:i w:val="0"/>
          <w:sz w:val="22"/>
        </w:rPr>
        <w:t>The 1024-dim model achieves substantially lower loss (4.761 vs 5.317), higher CB1 accuracy (40.5% vs 31.3%), and better MCD (129.43 vs 132.79). SECS is marginally higher (0.765 vs 0.757). The 67% increase in parameter count (419.5M vs 250.7M) translates to a meaningful improvement across all metrics, with only a 4% increase in training wall-clock time (741.5 vs 711.6 minutes).</w:t>
      </w:r>
    </w:p>
    <w:p>
      <w:pPr>
        <w:pStyle w:val="Heading2"/>
      </w:pPr>
      <w:r>
        <w:t>5.2 Loss Convergence Comparison</w:t>
      </w:r>
    </w:p>
    <w:p>
      <w:pPr>
        <w:spacing w:before="80" w:after="80"/>
        <w:ind w:left="288"/>
        <w:shd w:val="clear" w:color="auto" w:fill="F2F2F2"/>
      </w:pPr>
      <w:r>
        <w:rPr>
          <w:rFonts w:ascii="Courier New" w:hAnsi="Courier New"/>
          <w:color w:val="1F1F1F"/>
          <w:sz w:val="16"/>
        </w:rPr>
        <w:t>Loss</w:t>
        <w:br/>
        <w:t>7.5 │ ●  ●</w:t>
        <w:br/>
        <w:t xml:space="preserve">    │    \  ●</w:t>
        <w:br/>
        <w:t>7.0 │      \  ●                    768 ──●</w:t>
        <w:br/>
        <w:t xml:space="preserve">    │        \  ●  ●</w:t>
        <w:br/>
        <w:t>6.5 │          \───●               1024 ──■</w:t>
        <w:br/>
        <w:t xml:space="preserve">    │               \  ■</w:t>
        <w:br/>
        <w:t>6.0 │            ●   \■  ■</w:t>
        <w:br/>
        <w:t xml:space="preserve">    │              ●   \   ■  ■</w:t>
        <w:br/>
        <w:t>5.5 │                ●  \     ■ ■</w:t>
        <w:br/>
        <w:t xml:space="preserve">    │                  ●  \      ■  ■</w:t>
        <w:br/>
        <w:t>5.0 │                    ●  \        ■ ■ ■</w:t>
        <w:br/>
        <w:t xml:space="preserve">    │                      ●           ■ ■</w:t>
        <w:br/>
        <w:t>4.8 │                              ■ ■ ■ ■ ■</w:t>
        <w:br/>
        <w:t xml:space="preserve">    └──────────────────────────────────────────</w:t>
        <w:br/>
        <w:t xml:space="preserve">    0    5k   10k   15k   20k   25k   30k  steps</w:t>
      </w:r>
    </w:p>
    <w:p>
      <w:pPr>
        <w:spacing w:after="120"/>
      </w:pPr>
      <w:r>
        <w:rPr>
          <w:b w:val="0"/>
          <w:i w:val="0"/>
          <w:sz w:val="22"/>
        </w:rPr>
        <w:t>Both models follow a similar early descent trajectory (steps 0–6k), after which the 1024-dim model diverges to a consistently lower loss. Neither model shows signs of convergence at 30k steps; both are still descending, indicating that extended training would yield further improvement.</w:t>
      </w:r>
    </w:p>
    <w:p>
      <w:pPr>
        <w:pStyle w:val="Heading2"/>
      </w:pPr>
      <w:r>
        <w:t>5.3 CB Accuracy by Index</w:t>
      </w:r>
    </w:p>
    <w:p>
      <w:pPr>
        <w:spacing w:before="80" w:after="80"/>
        <w:ind w:left="288"/>
        <w:shd w:val="clear" w:color="auto" w:fill="F2F2F2"/>
      </w:pPr>
      <w:r>
        <w:rPr>
          <w:rFonts w:ascii="Courier New" w:hAnsi="Courier New"/>
          <w:color w:val="1F1F1F"/>
          <w:sz w:val="16"/>
        </w:rPr>
        <w:t>Accuracy (%)</w:t>
        <w:br/>
        <w:t>45% │ ■</w:t>
        <w:br/>
        <w:t>40% │ ■  ●</w:t>
        <w:br/>
        <w:t>35% │ ■  ●</w:t>
        <w:br/>
        <w:t>30% │ ■  ●</w:t>
        <w:br/>
        <w:t>25% │ ■  ●</w:t>
        <w:br/>
        <w:t>20% │ ■  ●</w:t>
        <w:br/>
        <w:t>15% │ ■  ● ■</w:t>
        <w:br/>
        <w:t>10% │ ■  ● ● ■ ■ ■ ■ ■ ■ ■</w:t>
        <w:br/>
        <w:t xml:space="preserve"> 8% │    ● ● ● ● ● ● ● ● ● ● ● ■ ■ ■ ■ ■ ■</w:t>
        <w:br/>
        <w:t xml:space="preserve"> 4% │    ● ● ● ● ● ● ● ● ● ● ● ● ● ● ● ● ●</w:t>
        <w:br/>
        <w:t xml:space="preserve">    └──────────────────────────────────────</w:t>
        <w:br/>
        <w:t xml:space="preserve">      CB1 CB2 CB3 CB4 CB5 CB6 CB7 CB8... CB18</w:t>
        <w:br/>
        <w:t xml:space="preserve">      ■ = 1024 model    ● = 768 model</w:t>
      </w:r>
    </w:p>
    <w:p>
      <w:pPr>
        <w:spacing w:after="120"/>
      </w:pPr>
      <w:r>
        <w:rPr>
          <w:b w:val="0"/>
          <w:i w:val="0"/>
          <w:sz w:val="22"/>
        </w:rPr>
        <w:t>The 1024-dim model consistently outperforms the 768-dim model at every codebook index. The improvement is most pronounced at CB1–CB6 (semantic and primary acoustic layers), and converges to similar low accuracy at CB16–CB18 where both models struggle with fine residual detail.</w:t>
      </w:r>
    </w:p>
    <w:p>
      <w:pPr>
        <w:pStyle w:val="Heading2"/>
      </w:pPr>
      <w:r>
        <w:t>5.4 Key Finding: SECS Regression</w:t>
      </w:r>
    </w:p>
    <w:p>
      <w:pPr>
        <w:spacing w:after="120"/>
      </w:pPr>
      <w:r>
        <w:rPr>
          <w:b w:val="0"/>
          <w:i w:val="0"/>
          <w:sz w:val="22"/>
        </w:rPr>
        <w:t>Both CRT models exhibit lower Speaker Encoder Cosine Similarity (SECS) to the target speaker than the raw FAISS baseline (0.757–0.765 vs 0.879). This is a significant finding. The raw FAISS output directly copies target speaker frames; because the codebook tokens are exact target-speaker tokens, the decoded audio preserves the target speaker's acoustic fingerprint precisely. The CRT, by learning to predict smooth codebook sequences that generalise across speakers, diverges from the exact target speaker timbre.</w:t>
      </w:r>
    </w:p>
    <w:p>
      <w:pPr>
        <w:spacing w:after="120"/>
      </w:pPr>
      <w:r>
        <w:rPr>
          <w:b w:val="0"/>
          <w:i w:val="0"/>
          <w:sz w:val="22"/>
        </w:rPr>
        <w:t>This indicates three things: (1) FAISS retrieval is highly effective for speaker identity preservation; (2) CRT refinement improves acoustic smoothness (lower MCD) at the cost of speaker fidelity; (3) no explicit speaker similarity signal is present in the focal CE loss, allowing the model to optimise reconstruction accuracy without penalising speaker identity deviation.</w:t>
      </w:r>
    </w:p>
    <w:p>
      <w:pPr>
        <w:pStyle w:val="Heading1"/>
      </w:pPr>
      <w:r>
        <w:t>6. Discussion</w:t>
      </w:r>
    </w:p>
    <w:p>
      <w:pPr>
        <w:pStyle w:val="Heading2"/>
      </w:pPr>
      <w:r>
        <w:t>6.1 GPU Utilisation Analysis</w:t>
      </w:r>
    </w:p>
    <w:p>
      <w:pPr>
        <w:spacing w:after="120"/>
      </w:pPr>
      <w:r>
        <w:rPr>
          <w:b w:val="0"/>
          <w:i w:val="0"/>
          <w:sz w:val="22"/>
        </w:rPr>
        <w:t>After correcting the physical device index bug, true GPU utilisation was 3–26% — substantially lower than the misreported 87–97%. The primary bottleneck is CPU FAISS search. A rough latency budget illustrates the imbalance:</w:t>
      </w:r>
    </w:p>
    <w:p>
      <w:pPr>
        <w:pStyle w:val="ListBullet"/>
      </w:pPr>
      <w:r>
        <w:rPr>
          <w:sz w:val="22"/>
        </w:rPr>
        <w:t>Batch size 128 × FAISS fraction 0.90 ≈ 115 FAISS searches per batch.</w:t>
      </w:r>
    </w:p>
    <w:p>
      <w:pPr>
        <w:pStyle w:val="ListBullet"/>
      </w:pPr>
      <w:r>
        <w:rPr>
          <w:sz w:val="22"/>
        </w:rPr>
        <w:t>With 8 workers: approximately 14 searches per worker × ~100 ms/search ≈ 1.4 s/batch data loading time.</w:t>
      </w:r>
    </w:p>
    <w:p>
      <w:pPr>
        <w:pStyle w:val="ListBullet"/>
      </w:pPr>
      <w:r>
        <w:rPr>
          <w:sz w:val="22"/>
        </w:rPr>
        <w:t>GPU forward + backward pass: approximately 300–400 ms.</w:t>
      </w:r>
    </w:p>
    <w:p>
      <w:pPr>
        <w:pStyle w:val="ListBullet"/>
      </w:pPr>
      <w:r>
        <w:rPr>
          <w:sz w:val="22"/>
        </w:rPr>
        <w:t>Net result: GPU is idle roughly 70% of the time, waiting for the prefetch queue.</w:t>
      </w:r>
    </w:p>
    <w:p>
      <w:pPr>
        <w:spacing w:after="120"/>
      </w:pPr>
      <w:r>
        <w:rPr>
          <w:b w:val="0"/>
          <w:i w:val="0"/>
          <w:sz w:val="22"/>
        </w:rPr>
        <w:t>The PrefetchQueue mitigates but does not eliminate this gap. GPU utilisation naturally increased toward the end of training as the learning rate schedule reduced the frequency of significant gradient updates, slightly increasing per-step GPU time.</w:t>
      </w:r>
    </w:p>
    <w:p>
      <w:pPr>
        <w:pStyle w:val="Heading2"/>
      </w:pPr>
      <w:r>
        <w:t>6.2 Training Stability</w:t>
      </w:r>
    </w:p>
    <w:p>
      <w:pPr>
        <w:spacing w:after="120"/>
      </w:pPr>
      <w:r>
        <w:rPr>
          <w:b w:val="0"/>
          <w:i w:val="0"/>
          <w:sz w:val="22"/>
        </w:rPr>
        <w:t>The d_model=1024 model showed monotonic loss descent with no plateaus throughout the 30,000 step run. The d_model=768 model with the initial lr=3e-4 configuration plateaued at loss ≈ 7.01 from step 400 — a textbook symptom of excessive learning rate. The effective noise introduced by large gradient updates at lr=3e-4 prevented the optimizer from descending through the loss landscape. Reducing to lr=1e-4 immediately resolved the plateau. This confirms the well-known relationship between effective batch size (batch_size × gradient accumulation) and optimal learning rate: doubling effective batch size requires approximately halving the learning rate to maintain similar gradient noise characteristics.</w:t>
      </w:r>
    </w:p>
    <w:p>
      <w:pPr>
        <w:pStyle w:val="Heading2"/>
      </w:pPr>
      <w:r>
        <w:t>6.3 CB Index Difficulty Gradient</w:t>
      </w:r>
    </w:p>
    <w:p>
      <w:pPr>
        <w:spacing w:after="120"/>
      </w:pPr>
      <w:r>
        <w:rPr>
          <w:b w:val="0"/>
          <w:i w:val="0"/>
          <w:sz w:val="22"/>
        </w:rPr>
        <w:t>Both models exhibit a pronounced accuracy gradient from CB1 (40.5%) down to CB18 (7.6%). This pattern directly reflects the structure of RVQ: lower-index codebooks encode the largest reconstruction residuals and therefore carry the most perceptually salient information. From the model's perspective, CB1 tokens are more predictable because they correlate strongly with the phonetic content (CB0) and with coarse spectral envelope features that the Conformer's attention can reconstruct. CB18 encodes fine-grained acoustic noise and texture that is nearly random given the available context, making accurate prediction fundamentally harder. The accuracy floor at CB18 (~4–8%) is still above chance (1/2048 ≈ 0.05%), confirming the model learns something at every level.</w:t>
      </w:r>
    </w:p>
    <w:p>
      <w:pPr>
        <w:pStyle w:val="Heading1"/>
      </w:pPr>
      <w:r>
        <w:t>7. Future Work</w:t>
      </w:r>
    </w:p>
    <w:p>
      <w:pPr>
        <w:pStyle w:val="Heading2"/>
      </w:pPr>
      <w:r>
        <w:t>7.1 More Training (Quick Win)</w:t>
      </w:r>
    </w:p>
    <w:p>
      <w:pPr>
        <w:spacing w:after="120"/>
      </w:pPr>
      <w:r>
        <w:rPr>
          <w:b w:val="0"/>
          <w:i w:val="0"/>
          <w:sz w:val="22"/>
        </w:rPr>
        <w:t>Both models show loss still declining at 30k steps with no sign of convergence. Extending training to 60k steps with identical configuration is expected to yield:</w:t>
      </w:r>
    </w:p>
    <w:p>
      <w:pPr>
        <w:pStyle w:val="ListBullet"/>
      </w:pPr>
      <w:r>
        <w:rPr>
          <w:sz w:val="22"/>
        </w:rPr>
        <w:t>1024 model loss: 4.761 → estimated ~4.2–4.4.</w:t>
      </w:r>
    </w:p>
    <w:p>
      <w:pPr>
        <w:pStyle w:val="ListBullet"/>
      </w:pPr>
      <w:r>
        <w:rPr>
          <w:sz w:val="22"/>
        </w:rPr>
        <w:t>CB1 accuracy: 40.5% → estimated ~50–55%.</w:t>
      </w:r>
    </w:p>
    <w:p>
      <w:pPr>
        <w:pStyle w:val="ListBullet"/>
      </w:pPr>
      <w:r>
        <w:rPr>
          <w:sz w:val="22"/>
        </w:rPr>
        <w:t>Minimal engineering effort required; simply resume from checkpoint.</w:t>
      </w:r>
    </w:p>
    <w:p>
      <w:pPr>
        <w:pStyle w:val="Heading2"/>
      </w:pPr>
      <w:r>
        <w:t>7.2 Speaker Similarity Loss</w:t>
      </w:r>
    </w:p>
    <w:p>
      <w:pPr>
        <w:spacing w:after="120"/>
      </w:pPr>
      <w:r>
        <w:rPr>
          <w:b w:val="0"/>
          <w:i w:val="0"/>
          <w:sz w:val="22"/>
        </w:rPr>
        <w:t>The most impactful single improvement is adding a secondary speaker similarity loss term to directly optimise SECS. The combined objective would be:</w:t>
      </w:r>
    </w:p>
    <w:p>
      <w:pPr>
        <w:spacing w:before="80" w:after="80"/>
        <w:ind w:left="288"/>
        <w:shd w:val="clear" w:color="auto" w:fill="F2F2F2"/>
      </w:pPr>
      <w:r>
        <w:rPr>
          <w:rFonts w:ascii="Courier New" w:hAnsi="Courier New"/>
          <w:color w:val="1F1F1F"/>
          <w:sz w:val="16"/>
        </w:rPr>
        <w:t>L_total = L_focal_CE + λ · (1 - cosine_sim(spk_pred, spk_target))</w:t>
      </w:r>
    </w:p>
    <w:p>
      <w:pPr>
        <w:spacing w:after="120"/>
      </w:pPr>
      <w:r>
        <w:rPr>
          <w:b w:val="0"/>
          <w:i w:val="0"/>
          <w:sz w:val="22"/>
        </w:rPr>
        <w:t>where spk_pred is extracted from the decoded audio using a pretrained speaker encoder and spk_target is the target speaker embedding. λ controls the trade-off between acoustic accuracy and speaker fidelity. This directly addresses the SECS regression observed in both experiments.</w:t>
      </w:r>
    </w:p>
    <w:p>
      <w:pPr>
        <w:pStyle w:val="Heading2"/>
      </w:pPr>
      <w:r>
        <w:t>7.3 Curriculum Corruption Training</w:t>
      </w:r>
    </w:p>
    <w:p>
      <w:pPr>
        <w:spacing w:after="120"/>
      </w:pPr>
      <w:r>
        <w:rPr>
          <w:b w:val="0"/>
          <w:i w:val="0"/>
          <w:sz w:val="22"/>
        </w:rPr>
        <w:t>Rather than a fixed corrupt_ratio throughout training, a phase-based curriculum could improve convergence:</w:t>
      </w:r>
    </w:p>
    <w:p>
      <w:pPr>
        <w:pStyle w:val="ListBullet"/>
      </w:pPr>
      <w:r>
        <w:rPr>
          <w:sz w:val="22"/>
        </w:rPr>
        <w:t>Steps 0–10k: corrupt_ratio = 0.30 (easy — high-quality FAISS inputs).</w:t>
      </w:r>
    </w:p>
    <w:p>
      <w:pPr>
        <w:pStyle w:val="ListBullet"/>
      </w:pPr>
      <w:r>
        <w:rPr>
          <w:sz w:val="22"/>
        </w:rPr>
        <w:t>Steps 10–20k: corrupt_ratio = 0.50 (medium).</w:t>
      </w:r>
    </w:p>
    <w:p>
      <w:pPr>
        <w:pStyle w:val="ListBullet"/>
      </w:pPr>
      <w:r>
        <w:rPr>
          <w:sz w:val="22"/>
        </w:rPr>
        <w:t>Steps 20–30k: corrupt_ratio = 0.70 (hard — matches realistic inference noise conditions).</w:t>
      </w:r>
    </w:p>
    <w:p>
      <w:pPr>
        <w:spacing w:after="120"/>
      </w:pPr>
      <w:r>
        <w:rPr>
          <w:b w:val="0"/>
          <w:i w:val="0"/>
          <w:sz w:val="22"/>
        </w:rPr>
        <w:t>This strategy mirrors curriculum learning principles: first train the model to handle clean inputs, then progressively increase difficulty to improve robustness at inference where the FAISS retrieval quality is not guaranteed.</w:t>
      </w:r>
    </w:p>
    <w:p>
      <w:pPr>
        <w:pStyle w:val="Heading2"/>
      </w:pPr>
      <w:r>
        <w:t>7.4 Residual Correction Architecture</w:t>
      </w:r>
    </w:p>
    <w:p>
      <w:pPr>
        <w:spacing w:after="120"/>
      </w:pPr>
      <w:r>
        <w:rPr>
          <w:b w:val="0"/>
          <w:i w:val="0"/>
          <w:sz w:val="22"/>
        </w:rPr>
        <w:t>Instead of predicting absolute CB token values, the CRT could predict corrections over FAISS-retrieved codes — i.e., predict a delta or a replacement only when the FAISS code is deemed incorrect. This residual architecture would preserve FAISS speaker identity on frames where retrieval quality is high, while smoothing transitions and bad retrievals. This directly addresses the SECS regression by anchoring predictions to target-speaker codes.</w:t>
      </w:r>
    </w:p>
    <w:p>
      <w:pPr>
        <w:pStyle w:val="Heading2"/>
      </w:pPr>
      <w:r>
        <w:t>7.5 Larger Architecture</w:t>
      </w:r>
    </w:p>
    <w:p>
      <w:pPr>
        <w:spacing w:after="120"/>
      </w:pPr>
      <w:r>
        <w:rPr>
          <w:b w:val="0"/>
          <w:i w:val="0"/>
          <w:sz w:val="22"/>
        </w:rPr>
        <w:t>A further scale-up to d_model=1280, n_heads=16, n_layers=16 (~650M parameters) remains within the A100 85 GB memory budget at batch_size=128, seq_len=128. Given the consistent improvement from 768 to 1024, extrapolation suggests continued gains at this scale.</w:t>
      </w:r>
    </w:p>
    <w:p>
      <w:pPr>
        <w:pStyle w:val="Heading2"/>
      </w:pPr>
      <w:r>
        <w:t>7.6 Improved FAISS Retrieval</w:t>
      </w:r>
    </w:p>
    <w:p>
      <w:pPr>
        <w:pStyle w:val="ListBullet"/>
      </w:pPr>
      <w:r>
        <w:rPr>
          <w:sz w:val="22"/>
        </w:rPr>
        <w:t>Increase k from 8 to 16–32 nearest neighbours for richer candidate pools.</w:t>
      </w:r>
    </w:p>
    <w:p>
      <w:pPr>
        <w:pStyle w:val="ListBullet"/>
      </w:pPr>
      <w:r>
        <w:rPr>
          <w:sz w:val="22"/>
        </w:rPr>
        <w:t>Weighted average of top-k CB0 embeddings before computing continuity scores.</w:t>
      </w:r>
    </w:p>
    <w:p>
      <w:pPr>
        <w:pStyle w:val="ListBullet"/>
      </w:pPr>
      <w:r>
        <w:rPr>
          <w:sz w:val="22"/>
        </w:rPr>
        <w:t>Better continuity scoring incorporating pitch trajectory and energy envelope.</w:t>
      </w:r>
    </w:p>
    <w:p>
      <w:pPr>
        <w:pStyle w:val="ListBullet"/>
      </w:pPr>
      <w:r>
        <w:rPr>
          <w:sz w:val="22"/>
        </w:rPr>
        <w:t>Hierarchical FAISS indices (IVF + PQ compression) to reduce memory footprint for very large speaker sets.</w:t>
      </w:r>
    </w:p>
    <w:p>
      <w:pPr>
        <w:pStyle w:val="Heading1"/>
      </w:pPr>
      <w:r>
        <w:t>8. Conclusion</w:t>
      </w:r>
    </w:p>
    <w:p>
      <w:pPr>
        <w:spacing w:after="120"/>
      </w:pPr>
      <w:r>
        <w:rPr>
          <w:b w:val="0"/>
          <w:i w:val="0"/>
          <w:sz w:val="22"/>
        </w:rPr>
        <w:t>This report presents the design, implementation, and evaluation of a voice conversion pipeline based on Mimi codec tokenisation, FAISS nearest-neighbour retrieval, and a Conformer-based Codebook Refinement Transformer. The key achievements are summarised below.</w:t>
      </w:r>
    </w:p>
    <w:p>
      <w:pPr>
        <w:pStyle w:val="ListBullet"/>
      </w:pPr>
      <w:r>
        <w:rPr>
          <w:sz w:val="22"/>
        </w:rPr>
        <w:t>Built a complete end-to-end voice conversion pipeline: Mimi encode → FAISS retrieve → CRT refine → Mimi decode.</w:t>
      </w:r>
    </w:p>
    <w:p>
      <w:pPr>
        <w:pStyle w:val="ListBullet"/>
      </w:pPr>
      <w:r>
        <w:rPr>
          <w:sz w:val="22"/>
        </w:rPr>
        <w:t>Implemented and trained 250.7M (d_model=768) and 419.5M (d_model=1024) parallel Conformer models with FiLM speaker conditioning.</w:t>
      </w:r>
    </w:p>
    <w:p>
      <w:pPr>
        <w:pStyle w:val="ListBullet"/>
      </w:pPr>
      <w:r>
        <w:rPr>
          <w:sz w:val="22"/>
        </w:rPr>
        <w:t>Identified and resolved five training infrastructure problems: GPU metrics misreporting, checkpoint-induced retrace, torch.compile conflicts, FAISS thread-safety failures, and low GPU utilisation.</w:t>
      </w:r>
    </w:p>
    <w:p>
      <w:pPr>
        <w:pStyle w:val="ListBullet"/>
      </w:pPr>
      <w:r>
        <w:rPr>
          <w:sz w:val="22"/>
        </w:rPr>
        <w:t>The 1024-dim model achieves loss 4.761, CB1 accuracy 40.5%, SECS 0.765, and MCD 129.43 after 30,000 training steps on 2,338 speakers.</w:t>
      </w:r>
    </w:p>
    <w:p>
      <w:pPr>
        <w:pStyle w:val="ListBullet"/>
      </w:pPr>
      <w:r>
        <w:rPr>
          <w:sz w:val="22"/>
        </w:rPr>
        <w:t>Key finding: CRT refinement improves acoustic smoothness (MCD) but degrades speaker similarity (SECS) relative to the raw FAISS baseline, identifying a clear gap for future work.</w:t>
      </w:r>
    </w:p>
    <w:p>
      <w:pPr>
        <w:pStyle w:val="ListBullet"/>
      </w:pPr>
      <w:r>
        <w:rPr>
          <w:sz w:val="22"/>
        </w:rPr>
        <w:t>Next priority: integrate an explicit speaker similarity loss term to anchor target speaker identity while retaining the smoothness benefits of CRT refinement.</w:t>
      </w:r>
    </w:p>
    <w:p>
      <w:pPr>
        <w:spacing w:after="120"/>
      </w:pPr>
      <w:r>
        <w:rPr>
          <w:b w:val="0"/>
          <w:i w:val="0"/>
          <w:sz w:val="22"/>
        </w:rPr>
        <w:t>The results demonstrate that large-scale Conformer models with RVQ codebook refinement are a viable and scalable approach to voice conversion, with clear paths to further improvement through extended training, architectural scaling, and loss function refinement.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