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trình vận hành kho FastMove</w:t>
      </w:r>
    </w:p>
    <w:p>
      <w:pPr>
        <w:pStyle w:val="Subtitle"/>
      </w:pPr>
      <w:r>
        <w:t>Bài 3  |  Chuẩn hóa giao vận và tra cứu giá cước</w:t>
      </w:r>
    </w:p>
    <w:p>
      <w:r>
        <w:t>Tài liệu hướng dẫn nhân viên kho, điều phối và shipper thực hiện luồng Nhận → Kiểm → Phân loại → Bàn giao → Đối soát. Mục tiêu là giao đúng kiện, tra đúng cước và lưu đủ bằng chứng để xử lý sai lệch.</w:t>
      </w:r>
    </w:p>
    <w:p>
      <w:r>
        <w:t>Căn cứ: đề bài và FastMove_Bai3_VLOOKUP_KPI.xlsx. Bộ dữ liệu gồm 500 vận đơn giả lập tháng 07/2026. Mức chậm trễ 16 giờ/ngày thuộc bối cảnh đề bài, chưa phải thời gian tiết kiệm đã đo.</w:t>
      </w:r>
    </w:p>
    <w:p>
      <w:pPr>
        <w:pStyle w:val="Heading1"/>
      </w:pPr>
      <w:r>
        <w:t>1 Phân tích mô hình nhân viên kho tra hồ sơ</w:t>
      </w:r>
    </w:p>
    <w:p>
      <w:r>
        <w:t>Workbook nối vận đơn với bảng giá thông qua mã giá dùng chung. Mã vận đơn nhận diện từng kiện; mã giá nhận diện tổ hợp khu vực và dịch vụ, không dùng hai mã này thay cho nhau.</w:t>
      </w:r>
    </w:p>
    <w:tbl>
      <w:tblPr>
        <w:tblW w:type="auto" w:w="0"/>
        <w:tblLayout w:type="fixed"/>
        <w:tblLook w:firstColumn="1" w:firstRow="1" w:lastColumn="0" w:lastRow="0" w:noHBand="0" w:noVBand="1" w:val="04A0"/>
      </w:tblPr>
      <w:tblGrid>
        <w:gridCol w:w="1944"/>
        <w:gridCol w:w="3384"/>
        <w:gridCol w:w="4176"/>
      </w:tblGrid>
      <w:tr>
        <w:trPr>
          <w:tblHeader/>
        </w:trPr>
        <w:tc>
          <w:tcPr>
            <w:tcW w:type="dxa" w:w="1944"/>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Tham số VLOOKUP</w:t>
            </w:r>
          </w:p>
        </w:tc>
        <w:tc>
          <w:tcPr>
            <w:tcW w:type="dxa" w:w="3384"/>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Nhân viên kho thực hiện</w:t>
            </w:r>
          </w:p>
        </w:tc>
        <w:tc>
          <w:tcPr>
            <w:tcW w:type="dxa" w:w="4176"/>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Áp dụng trong workbook</w:t>
            </w:r>
          </w:p>
        </w:tc>
      </w:tr>
      <w:tr>
        <w:tc>
          <w:tcPr>
            <w:tcW w:type="dxa" w:w="194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lookup_value</w:t>
            </w:r>
          </w:p>
        </w:tc>
        <w:tc>
          <w:tcPr>
            <w:tcW w:type="dxa" w:w="338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Đọc mã trên phiếu cần tra</w:t>
            </w:r>
          </w:p>
        </w:tc>
        <w:tc>
          <w:tcPr>
            <w:tcW w:type="dxa" w:w="417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E2 là mã giá của vận đơn</w:t>
            </w:r>
          </w:p>
        </w:tc>
      </w:tr>
      <w:t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table_array</w:t>
            </w:r>
          </w:p>
        </w:tc>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Mở đúng tủ hồ sơ bảng giá</w:t>
            </w:r>
          </w:p>
        </w:tc>
        <w:tc>
          <w:tcPr>
            <w:tcW w:type="dxa" w:w="41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'02_Bang_gia'!$A$2:$D$13</w:t>
            </w:r>
          </w:p>
        </w:tc>
      </w:tr>
      <w:tr>
        <w:tc>
          <w:tcPr>
            <w:tcW w:type="dxa" w:w="194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col_index_num</w:t>
            </w:r>
          </w:p>
        </w:tc>
        <w:tc>
          <w:tcPr>
            <w:tcW w:type="dxa" w:w="338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Lấy thông tin ở ngăn thứ 4</w:t>
            </w:r>
          </w:p>
        </w:tc>
        <w:tc>
          <w:tcPr>
            <w:tcW w:type="dxa" w:w="417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4 tương ứng Đơn giá VND/kg</w:t>
            </w:r>
          </w:p>
        </w:tc>
      </w:tr>
      <w:tr>
        <w:tc>
          <w:tcPr>
            <w:tcW w:type="dxa" w:w="194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range_lookup</w:t>
            </w:r>
          </w:p>
        </w:tc>
        <w:tc>
          <w:tcPr>
            <w:tcW w:type="dxa" w:w="338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Chỉ chấp nhận hồ sơ đúng mã</w:t>
            </w:r>
          </w:p>
        </w:tc>
        <w:tc>
          <w:tcPr>
            <w:tcW w:type="dxa" w:w="41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FALSE để khớp chính xác</w:t>
            </w:r>
          </w:p>
        </w:tc>
      </w:tr>
    </w:tbl>
    <w:p/>
    <w:p>
      <w:pPr>
        <w:pStyle w:val="Heading2"/>
      </w:pPr>
      <w:r>
        <w:t>Điều kiện trước khi sử dụng file</w:t>
      </w:r>
    </w:p>
    <w:p>
      <w:r>
        <w:t>Bản workbook hiện có bị lệch dữ liệu C–E ở cả 500 dòng: C chứa mã giá, D chứa khu vực, E chứa dịch vụ, trong khi tiêu đề yêu cầu C = Khu vực, D = Dịch vụ, E = Mã giá. Vì công thức tra E, bảng KPI đang ghi 500 mã lỗi và tổng thành tiền bằng 0.</w:t>
      </w:r>
    </w:p>
    <w:p>
      <w:r>
        <w:t>Trước khi vận hành, sao lưu file rồi đưa giá trị về đúng tiêu đề: C mới ← D cũ; D mới ← E cũ; E mới ← C cũ. Dùng vùng tạm để tránh ghi đè. Tính lại Excel và kiểm tra mẫu trước khi bàn giao. Hai tài liệu này không sửa workbook gốc.</w:t>
      </w:r>
    </w:p>
    <w:p>
      <w:r>
        <w:br w:type="page"/>
      </w:r>
    </w:p>
    <w:p>
      <w:pPr>
        <w:pStyle w:val="Heading1"/>
      </w:pPr>
      <w:r>
        <w:t>2 Triển khai quy trình tại kho</w:t>
      </w:r>
    </w:p>
    <w:tbl>
      <w:tblPr>
        <w:tblW w:type="auto" w:w="0"/>
        <w:tblLayout w:type="fixed"/>
        <w:tblLook w:firstColumn="1" w:firstRow="1" w:lastColumn="0" w:lastRow="0" w:noHBand="0" w:noVBand="1" w:val="04A0"/>
      </w:tblPr>
      <w:tblGrid>
        <w:gridCol w:w="2016"/>
        <w:gridCol w:w="7488"/>
      </w:tblGrid>
      <w:tr>
        <w:trPr>
          <w:tblHeader/>
        </w:trPr>
        <w:tc>
          <w:tcPr>
            <w:tcW w:type="dxa" w:w="2016"/>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Vai trò</w:t>
            </w:r>
          </w:p>
        </w:tc>
        <w:tc>
          <w:tcPr>
            <w:tcW w:type="dxa" w:w="7488"/>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Trách nhiệm chính</w:t>
            </w:r>
          </w:p>
        </w:tc>
      </w:tr>
      <w:tr>
        <w:tc>
          <w:tcPr>
            <w:tcW w:type="dxa" w:w="201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Nhân viên kho</w:t>
            </w:r>
          </w:p>
        </w:tc>
        <w:tc>
          <w:tcPr>
            <w:tcW w:type="dxa" w:w="7488"/>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Nhập dữ liệu, kiểm kiện và đối chiếu mã giá</w:t>
            </w:r>
          </w:p>
        </w:tc>
      </w:tr>
      <w:t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Điều phối</w:t>
            </w:r>
          </w:p>
        </w:tc>
        <w:tc>
          <w:tcPr>
            <w:tcW w:type="dxa" w:w="74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Phân tuyến, duyệt ngoại lệ và giao danh sách đơn</w:t>
            </w:r>
          </w:p>
        </w:tc>
      </w:tr>
      <w:tr>
        <w:tc>
          <w:tcPr>
            <w:tcW w:type="dxa" w:w="201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Shipper</w:t>
            </w:r>
          </w:p>
        </w:tc>
        <w:tc>
          <w:tcPr>
            <w:tcW w:type="dxa" w:w="7488"/>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Quét mã, kiểm kiện, xác nhận và cập nhật trạng thái</w:t>
            </w:r>
          </w:p>
        </w:tc>
      </w:tr>
      <w:tr>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Người đối soát</w:t>
            </w:r>
          </w:p>
        </w:tc>
        <w:tc>
          <w:tcPr>
            <w:tcW w:type="dxa" w:w="748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Đối chiếu cước, chứng từ, tiền thu hộ và chênh lệch</w:t>
            </w:r>
          </w:p>
        </w:tc>
      </w:tr>
    </w:tbl>
    <w:p/>
    <w:p>
      <w:pPr>
        <w:pStyle w:val="Heading2"/>
      </w:pPr>
      <w:r>
        <w:t>Bước 1 Nhận hàng và ghi nhận vận đơn</w:t>
      </w:r>
    </w:p>
    <w:p>
      <w:r>
        <w:t>Nhân viên kho đối chiếu mã vận đơn trên nhãn với danh sách tiếp nhận; ghi ngày tạo, khu vực, dịch vụ, khối lượng và mã giá. Mỗi hàng là một vận đơn. Nếu trùng mã, thiếu nhãn hoặc kiện hư hỏng, giữ riêng và báo điều phối trước khi xác nhận.</w:t>
      </w:r>
    </w:p>
    <w:p>
      <w:pPr>
        <w:pStyle w:val="Heading2"/>
      </w:pPr>
      <w:r>
        <w:t>Bước 2 Kiểm kiện và tra cước</w:t>
      </w:r>
    </w:p>
    <w:p>
      <w:r>
        <w:t>Kiểm số kiện, tình trạng niêm phong và khối lượng. Mã giá phải tồn tại duy nhất trong 02_Bang_gia; đối chiếu cả khu vực và dịch vụ. Công thức ở G lấy đơn giá, H tính thành tiền. Chỉ chuyển tiếp khi đơn giá là số và dữ liệu đầu vào đã đúng cột.</w:t>
      </w:r>
    </w:p>
    <w:p>
      <w:pPr>
        <w:pStyle w:val="Heading2"/>
      </w:pPr>
      <w:r>
        <w:t>Bước 3 Phân loại và phân tuyến</w:t>
      </w:r>
    </w:p>
    <w:p>
      <w:r>
        <w:t>Điều phối phân nhóm theo khu vực và dịch vụ; ưu tiên đơn hỏa tốc theo yêu cầu giao trên phiếu. Sắp xếp toàn bộ bảng để giữ nguyên dữ liệu cùng hàng. Đặt kiện lỗi hoặc chưa rõ cước vào khu vực chờ xử lý; ghi nguyên nhân tại cột Ghi chú.</w:t>
      </w:r>
    </w:p>
    <w:p>
      <w:pPr>
        <w:pStyle w:val="Heading2"/>
      </w:pPr>
      <w:r>
        <w:t>Bước 4 Bàn giao cho shipper</w:t>
      </w:r>
    </w:p>
    <w:p>
      <w:r>
        <w:t>Shipper quét từng mã và kiểm với danh sách được giao; kiểm số kiện, địa chỉ và số tiền cần thu trên chứng từ đã duyệt. Hai bên xác nhận người nhận, thời điểm và số lượng. Chỉ đổi sang Đang giao sau khi thực sự bàn giao; không dùng đơn giá cước thay cho số tiền COD phải thu.</w:t>
      </w:r>
    </w:p>
    <w:p>
      <w:pPr>
        <w:pStyle w:val="Heading2"/>
      </w:pPr>
      <w:r>
        <w:t>Bước 5 Đối soát và chốt ca</w:t>
      </w:r>
    </w:p>
    <w:p>
      <w:r>
        <w:t>Shipper cập nhật Đã giao khi có bằng chứng giao nhận và điền Ngày giao; nếu Giao thất bại, ghi lý do và bàn giao kiện hoàn theo hướng dẫn điều phối. Cuối ca, đối soát danh sách, cước và tiền thu hộ với chứng từ. Chênh lệch phải có người phụ trách và hướng xử lý.</w:t>
      </w:r>
    </w:p>
    <w:p>
      <w:r>
        <w:t>Điều kiện hoàn tất: không thiếu kiện; trạng thái khớp thực tế; không còn mã giá lỗi chưa xử lý; chứng từ và số tiền khớp. Quy tắc tác nghiệp trên là hướng dẫn đề xuất cho tình huống FastMove, không phải SLA đã được công ty ban hành.</w:t>
      </w:r>
    </w:p>
    <w:p>
      <w:r>
        <w:br w:type="page"/>
      </w:r>
    </w:p>
    <w:p>
      <w:pPr>
        <w:pStyle w:val="Heading1"/>
      </w:pPr>
      <w:r>
        <w:t>3 Công thức và quy tắc dữ liệu</w:t>
      </w:r>
    </w:p>
    <w:p>
      <w:pPr>
        <w:pStyle w:val="Heading2"/>
      </w:pPr>
      <w:r>
        <w:t>Tra giá chính xác cho 500 dòng</w:t>
      </w:r>
    </w:p>
    <w:p>
      <w:r>
        <w:t>Sau khi dữ liệu đã đúng cột, nhập công thức tại G2 của 03_Van_don_500 và kéo xuống G501. E2 thay đổi theo hàng; dấu $ giữ nguyên cả hàng và cột của bảng giá.</w:t>
      </w:r>
    </w:p>
    <w:p>
      <w:r>
        <w:t>=IF(E2="","",IFERROR(VLOOKUP(E2,'02_Bang_gia'!$A$2:$D$13,4,FALSE),"KHÔNG TÌM THẤY"))</w:t>
      </w:r>
    </w:p>
    <w:p>
      <w:r>
        <w:t>Tại H2, nhập công thức sau rồi kéo đến H501. Khi không có đơn giá số, thành tiền để trống để chờ xử lý, không coi đó là đơn miễn phí.</w:t>
      </w:r>
    </w:p>
    <w:p>
      <w:r>
        <w:t>=IF(ISNUMBER(G2),G2*F2,"")</w:t>
      </w:r>
    </w:p>
    <w:p>
      <w:r>
        <w:t>Ví dụ sau khi đúng cột: mã FM-01-01 trả 12.000 VND/kg; kiện 2 kg có cước 24.000 VND theo mô hình tính của workbook. File chưa mô hình hóa phụ phí, giá trị hàng hoặc tiền COD phải thu.</w:t>
      </w:r>
    </w:p>
    <w:p>
      <w:pPr>
        <w:pStyle w:val="Heading2"/>
      </w:pPr>
      <w:r>
        <w:t>Áp dụng năm quy tắc dữ liệu của workbook</w:t>
      </w:r>
    </w:p>
    <w:p>
      <w:pPr>
        <w:pStyle w:val="ListBullet"/>
      </w:pPr>
      <w:r>
        <w:t>Mỗi hàng chỉ ghi một vận đơn, không chèn dòng tổng vào vùng dữ liệu.</w:t>
      </w:r>
    </w:p>
    <w:p>
      <w:pPr>
        <w:pStyle w:val="ListBullet"/>
      </w:pPr>
      <w:r>
        <w:t>Mỗi cột chỉ chứa một trường và dữ liệu phải đúng tiêu đề.</w:t>
      </w:r>
    </w:p>
    <w:p>
      <w:pPr>
        <w:pStyle w:val="ListBullet"/>
      </w:pPr>
      <w:r>
        <w:t>Không gộp ô trong bảng nguồn hoặc bảng tra cứu.</w:t>
      </w:r>
    </w:p>
    <w:p>
      <w:pPr>
        <w:pStyle w:val="ListBullet"/>
      </w:pPr>
      <w:r>
        <w:t>Dùng một hàng tiêu đề rõ ràng, mỗi tên cột là duy nhất.</w:t>
      </w:r>
    </w:p>
    <w:p>
      <w:pPr>
        <w:pStyle w:val="ListBullet"/>
      </w:pPr>
      <w:r>
        <w:t>Giữ dữ liệu đồng nhất: mã là văn bản, khối lượng và cước là số, ngày là kiểu ngày.</w:t>
      </w:r>
    </w:p>
    <w:p>
      <w:pPr>
        <w:pStyle w:val="Heading2"/>
      </w:pPr>
      <w:r>
        <w:t>Quản lý bảng giá và quyền thay đổi</w:t>
      </w:r>
    </w:p>
    <w:p>
      <w:r>
        <w:t>02_Bang_gia có 12 mã giá tại A2:D13; cột mã phải đứng đầu vùng tra cứu và không trùng. Người quản lý bảng giá cập nhật đơn giá, lưu phiên bản và thông báo ngày áp dụng. Nếu thêm mã ngoài dòng 13, phải mở rộng vùng tra cứu trước khi dùng.</w:t>
      </w:r>
    </w:p>
    <w:p>
      <w:pPr>
        <w:pStyle w:val="Heading2"/>
      </w:pPr>
      <w:r>
        <w:t>Styles và màu sắc thương hiệu</w:t>
      </w:r>
    </w:p>
    <w:p>
      <w:r>
        <w:t>Title dùng cho tên tài liệu; Heading 1 cho phần chính; Heading 2 cho bước nghiệp vụ; Normal cho hướng dẫn; List Bullet cho danh sách. Chỉnh Style để cập nhật đồng loạt. Màu navy #17365D và xanh nhạt #EAF5FB được lấy từ workbook; navy dùng cho đề mục và đầu bảng, xanh nhạt phân biệt hàng dữ liệu. PowerPoint dùng cùng bảng màu; cam nhấn riêng nhóm cần xử lý.</w:t>
      </w:r>
    </w:p>
    <w:p>
      <w:r>
        <w:br w:type="page"/>
      </w:r>
    </w:p>
    <w:p>
      <w:pPr>
        <w:pStyle w:val="Heading1"/>
      </w:pPr>
      <w:r>
        <w:t>4 Kiểm thử trước khi bàn giao</w:t>
      </w:r>
    </w:p>
    <w:p>
      <w:r>
        <w:t>Đối chiếu các trường hợp với sheet 05_Kiem_thu sau khi sửa vị trí dữ liệu. Kết quả dưới đây là kỳ vọng theo công thức; IFERROR đổi thông báo lỗi, không tự sửa mã đầu vào.</w:t>
      </w:r>
    </w:p>
    <w:tbl>
      <w:tblPr>
        <w:tblW w:type="auto" w:w="0"/>
        <w:tblLayout w:type="fixed"/>
        <w:tblLook w:firstColumn="1" w:firstRow="1" w:lastColumn="0" w:lastRow="0" w:noHBand="0" w:noVBand="1" w:val="04A0"/>
      </w:tblPr>
      <w:tblGrid>
        <w:gridCol w:w="2376"/>
        <w:gridCol w:w="2592"/>
        <w:gridCol w:w="4536"/>
      </w:tblGrid>
      <w:tr>
        <w:trPr>
          <w:tblHeader/>
        </w:trPr>
        <w:tc>
          <w:tcPr>
            <w:tcW w:type="dxa" w:w="2376"/>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Trường hợp</w:t>
            </w:r>
          </w:p>
        </w:tc>
        <w:tc>
          <w:tcPr>
            <w:tcW w:type="dxa" w:w="2592"/>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Đầu vào</w:t>
            </w:r>
          </w:p>
        </w:tc>
        <w:tc>
          <w:tcPr>
            <w:tcW w:type="dxa" w:w="4536"/>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Kết quả kỳ vọng</w:t>
            </w:r>
          </w:p>
        </w:tc>
      </w:tr>
      <w:tr>
        <w:tc>
          <w:tcPr>
            <w:tcW w:type="dxa" w:w="237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Mã hợp lệ</w:t>
            </w:r>
          </w:p>
        </w:tc>
        <w:tc>
          <w:tcPr>
            <w:tcW w:type="dxa" w:w="2592"/>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FM-01-01</w:t>
            </w:r>
          </w:p>
        </w:tc>
        <w:tc>
          <w:tcPr>
            <w:tcW w:type="dxa" w:w="453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12.000 VND/kg</w:t>
            </w:r>
          </w:p>
        </w:tc>
      </w:tr>
      <w:t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Ký tự lạ</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FM-01-01@</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KHÔNG TÌM THẤY</w:t>
            </w:r>
          </w:p>
        </w:tc>
      </w:tr>
      <w:tr>
        <w:tc>
          <w:tcPr>
            <w:tcW w:type="dxa" w:w="237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Mã không tồn tại</w:t>
            </w:r>
          </w:p>
        </w:tc>
        <w:tc>
          <w:tcPr>
            <w:tcW w:type="dxa" w:w="2592"/>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FM-99-99</w:t>
            </w:r>
          </w:p>
        </w:tc>
        <w:tc>
          <w:tcPr>
            <w:tcW w:type="dxa" w:w="453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KHÔNG TÌM THẤY</w:t>
            </w:r>
          </w:p>
        </w:tc>
      </w:tr>
      <w:t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Mã trống</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Ô rỗng</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Để trống</w:t>
            </w:r>
          </w:p>
        </w:tc>
      </w:tr>
      <w:tr>
        <w:tc>
          <w:tcPr>
            <w:tcW w:type="dxa" w:w="237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Khác hoa thường</w:t>
            </w:r>
          </w:p>
        </w:tc>
        <w:tc>
          <w:tcPr>
            <w:tcW w:type="dxa" w:w="2592"/>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fm-01-01</w:t>
            </w:r>
          </w:p>
        </w:tc>
        <w:tc>
          <w:tcPr>
            <w:tcW w:type="dxa" w:w="4536"/>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12.000 VND/kg</w:t>
            </w:r>
          </w:p>
        </w:tc>
      </w:tr>
      <w:tr>
        <w:tc>
          <w:tcPr>
            <w:tcW w:type="dxa" w:w="237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Khoảng trắng dư</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 xml:space="preserve"> FM-01-01 </w:t>
            </w:r>
          </w:p>
        </w:tc>
        <w:tc>
          <w:tcPr>
            <w:tcW w:type="dxa" w:w="45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KHÔNG TÌM THẤY</w:t>
            </w:r>
          </w:p>
        </w:tc>
      </w:tr>
    </w:tbl>
    <w:p/>
    <w:p>
      <w:r>
        <w:t>Với khoảng trắng thừa, có thể chuẩn hóa bằng TRIM sau khi xác minh. Ký tự @ hoặc mã sai cần đối chiếu chứng từ; không tự xóa ký tự nếu chưa rõ mã đúng. Kiểm tra G2, G251 và G501 vẫn cùng vùng $A$2:$D$13 và tham chiếu lần lượt E2, E251, E501.</w:t>
      </w:r>
    </w:p>
    <w:p>
      <w:pPr>
        <w:pStyle w:val="Heading1"/>
      </w:pPr>
      <w:r>
        <w:t>5 Theo dõi KPI và hành động</w:t>
      </w:r>
    </w:p>
    <w:tbl>
      <w:tblPr>
        <w:tblW w:type="auto" w:w="0"/>
        <w:tblLayout w:type="fixed"/>
        <w:tblLook w:firstColumn="1" w:firstRow="1" w:lastColumn="0" w:lastRow="0" w:noHBand="0" w:noVBand="1" w:val="04A0"/>
      </w:tblPr>
      <w:tblGrid>
        <w:gridCol w:w="4752"/>
        <w:gridCol w:w="1728"/>
        <w:gridCol w:w="3024"/>
      </w:tblGrid>
      <w:tr>
        <w:trPr>
          <w:tblHeader/>
        </w:trPr>
        <w:tc>
          <w:tcPr>
            <w:tcW w:type="dxa" w:w="4752"/>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KPI trạng thái</w:t>
            </w:r>
          </w:p>
        </w:tc>
        <w:tc>
          <w:tcPr>
            <w:tcW w:type="dxa" w:w="1728"/>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Số đơn</w:t>
            </w:r>
          </w:p>
        </w:tc>
        <w:tc>
          <w:tcPr>
            <w:tcW w:type="dxa" w:w="3024"/>
            <w:shd w:fill="17365D"/>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color w:val="FFFFFF"/>
                <w:sz w:val="18"/>
              </w:rPr>
              <w:t>Tỷ trọng</w:t>
            </w:r>
          </w:p>
        </w:tc>
      </w:tr>
      <w:tr>
        <w:tc>
          <w:tcPr>
            <w:tcW w:type="dxa" w:w="4752"/>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Đã giao</w:t>
            </w:r>
          </w:p>
        </w:tc>
        <w:tc>
          <w:tcPr>
            <w:tcW w:type="dxa" w:w="1728"/>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379</w:t>
            </w:r>
          </w:p>
        </w:tc>
        <w:tc>
          <w:tcPr>
            <w:tcW w:type="dxa" w:w="302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75,8%</w:t>
            </w:r>
          </w:p>
        </w:tc>
      </w:tr>
      <w:tr>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Đang giao</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73</w:t>
            </w:r>
          </w:p>
        </w:tc>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14,6%</w:t>
            </w:r>
          </w:p>
        </w:tc>
      </w:tr>
      <w:tr>
        <w:tc>
          <w:tcPr>
            <w:tcW w:type="dxa" w:w="4752"/>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Giao thất bại</w:t>
            </w:r>
          </w:p>
        </w:tc>
        <w:tc>
          <w:tcPr>
            <w:tcW w:type="dxa" w:w="1728"/>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48</w:t>
            </w:r>
          </w:p>
        </w:tc>
        <w:tc>
          <w:tcPr>
            <w:tcW w:type="dxa" w:w="3024"/>
            <w:shd w:fill="EAF5FB"/>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9,6%</w:t>
            </w:r>
          </w:p>
        </w:tc>
      </w:tr>
      <w:tr>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Tổng</w:t>
            </w:r>
          </w:p>
        </w:tc>
        <w:tc>
          <w:tcPr>
            <w:tcW w:type="dxa" w:w="17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500</w:t>
            </w:r>
          </w:p>
        </w:tc>
        <w:tc>
          <w:tcPr>
            <w:tcW w:type="dxa" w:w="3024"/>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sz w:val="18"/>
              </w:rPr>
              <w:t>100,0%</w:t>
            </w:r>
          </w:p>
        </w:tc>
      </w:tr>
    </w:tbl>
    <w:p/>
    <w:p>
      <w:r>
        <w:t>Nguồn KPI: đếm trạng thái tại 03_Van_don_500!I2:I501; khớp 04_KPI!B4:B8. Đây là dữ liệu giả lập tháng 07/2026. Tỷ lệ 75,8% = 379/500; trạng thái Đã giao chưa chứng minh giao đúng hẹn vì file không có hạn giao cam kết.</w:t>
      </w:r>
    </w:p>
    <w:p>
      <w:r>
        <w:t>Ưu tiên rà nguyên nhân 48 đơn thất bại và theo dõi tiến độ 73 đơn đang giao. Bar chart trong PowerPoint tô cam nhóm thất bại để nhận diện việc cần xử lý. KPI trạng thái vẫn dùng được; tổng cước bằng 0 của bản nguồn chưa thể dùng để kết luận doanh thu vì lỗi lệch cột.</w:t>
      </w:r>
    </w:p>
    <w:p>
      <w:r>
        <w:t>Đo hiệu quả sau triển khai bằng thời gian tra cứu thực tế, tỷ lệ mã lỗi và tỷ lệ giao thành công trên cùng kỳ so sánh. Không khẳng định đã tiết kiệm 16 giờ/ngày khi chưa có đo lường trước và sau.</w:t>
      </w:r>
    </w:p>
    <w:sectPr w:rsidR="00FC693F" w:rsidRPr="0006063C" w:rsidSect="00034616">
      <w:headerReference w:type="default" r:id="rId9"/>
      <w:footerReference w:type="default" r:id="rId10"/>
      <w:pgSz w:w="11909" w:h="16834"/>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FastMove  •  Quy trình kho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7365D"/>
      </w:rPr>
      <w:t>FASTMOVE   /   BÀI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i/>
      <w:iCs/>
      <w:color w:val="202B3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color w:val="202B3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