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D8CB3" w14:textId="55F94D5A" w:rsidR="00FE42D2" w:rsidRDefault="002A6DD5" w:rsidP="002A6DD5">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r w:rsidR="00BA0799" w:rsidRPr="00443FA4">
        <w:rPr>
          <w:rFonts w:ascii="Times New Roman" w:hAnsi="Times New Roman" w:cs="Times New Roman"/>
          <w:b/>
          <w:bCs/>
          <w:sz w:val="28"/>
          <w:szCs w:val="28"/>
          <w:lang w:val="vi-VN"/>
        </w:rPr>
        <w:t xml:space="preserve"> PHÂN TÍCH DỮ LIỆU</w:t>
      </w:r>
    </w:p>
    <w:p w14:paraId="57369752" w14:textId="79E3420B" w:rsidR="002A6DD5" w:rsidRDefault="002A6DD5" w:rsidP="002A6DD5">
      <w:pPr>
        <w:spacing w:line="276" w:lineRule="auto"/>
        <w:ind w:left="72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Thông tin thành viên:</w:t>
      </w:r>
    </w:p>
    <w:p w14:paraId="46310A05" w14:textId="77777777" w:rsidR="002A6DD5" w:rsidRDefault="002A6DD5" w:rsidP="002A6DD5">
      <w:pPr>
        <w:spacing w:line="276" w:lineRule="auto"/>
        <w:ind w:left="720"/>
        <w:jc w:val="both"/>
        <w:rPr>
          <w:rFonts w:ascii="Times New Roman" w:hAnsi="Times New Roman" w:cs="Times New Roman"/>
          <w:bCs/>
          <w:sz w:val="28"/>
          <w:szCs w:val="28"/>
          <w:lang w:val="vi-VN"/>
        </w:rPr>
        <w:sectPr w:rsidR="002A6DD5" w:rsidSect="00443FA4">
          <w:type w:val="continuous"/>
          <w:pgSz w:w="11909" w:h="16834" w:code="9"/>
          <w:pgMar w:top="1134" w:right="1134" w:bottom="1134" w:left="1985" w:header="720" w:footer="720" w:gutter="0"/>
          <w:cols w:space="720"/>
          <w:titlePg/>
          <w:docGrid w:linePitch="360"/>
        </w:sectPr>
      </w:pPr>
    </w:p>
    <w:p w14:paraId="1E699436" w14:textId="19A76742" w:rsidR="002A6DD5" w:rsidRPr="002A6DD5" w:rsidRDefault="002A6DD5" w:rsidP="002A6DD5">
      <w:pPr>
        <w:spacing w:line="276" w:lineRule="auto"/>
        <w:ind w:left="720"/>
        <w:jc w:val="both"/>
        <w:rPr>
          <w:rFonts w:ascii="Times New Roman" w:hAnsi="Times New Roman" w:cs="Times New Roman"/>
          <w:bCs/>
          <w:sz w:val="28"/>
          <w:szCs w:val="28"/>
          <w:lang w:val="vi-VN"/>
        </w:rPr>
      </w:pPr>
      <w:r w:rsidRPr="002A6DD5">
        <w:rPr>
          <w:rFonts w:ascii="Times New Roman" w:hAnsi="Times New Roman" w:cs="Times New Roman"/>
          <w:bCs/>
          <w:sz w:val="28"/>
          <w:szCs w:val="28"/>
          <w:lang w:val="vi-VN"/>
        </w:rPr>
        <w:lastRenderedPageBreak/>
        <w:t>Nguyễn Văn Vũ Em</w:t>
      </w:r>
    </w:p>
    <w:p w14:paraId="0AA91B45" w14:textId="7AE31FE1" w:rsidR="002A6DD5" w:rsidRDefault="002A6DD5" w:rsidP="002A6DD5">
      <w:pPr>
        <w:spacing w:line="276" w:lineRule="auto"/>
        <w:ind w:left="720"/>
        <w:jc w:val="both"/>
        <w:rPr>
          <w:rFonts w:ascii="Times New Roman" w:hAnsi="Times New Roman" w:cs="Times New Roman"/>
          <w:bCs/>
          <w:sz w:val="28"/>
          <w:szCs w:val="28"/>
          <w:lang w:val="vi-VN"/>
        </w:rPr>
      </w:pPr>
      <w:r w:rsidRPr="002A6DD5">
        <w:rPr>
          <w:rFonts w:ascii="Times New Roman" w:hAnsi="Times New Roman" w:cs="Times New Roman"/>
          <w:bCs/>
          <w:sz w:val="28"/>
          <w:szCs w:val="28"/>
          <w:lang w:val="vi-VN"/>
        </w:rPr>
        <w:t>Trường Xuân Cảnh</w:t>
      </w:r>
    </w:p>
    <w:p w14:paraId="764AFEC2" w14:textId="163C4B1E" w:rsidR="002A6DD5" w:rsidRDefault="002A6DD5" w:rsidP="002A6DD5">
      <w:pPr>
        <w:spacing w:line="276" w:lineRule="auto"/>
        <w:ind w:left="720"/>
        <w:jc w:val="both"/>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3122410090</w:t>
      </w:r>
    </w:p>
    <w:p w14:paraId="3B72E4E9" w14:textId="2C48F3AC" w:rsidR="002A6DD5" w:rsidRPr="002A6DD5" w:rsidRDefault="002A6DD5" w:rsidP="002A6DD5">
      <w:pPr>
        <w:spacing w:line="276" w:lineRule="auto"/>
        <w:ind w:left="720"/>
        <w:jc w:val="both"/>
        <w:rPr>
          <w:rFonts w:ascii="Times New Roman" w:hAnsi="Times New Roman" w:cs="Times New Roman"/>
          <w:bCs/>
          <w:sz w:val="28"/>
          <w:szCs w:val="28"/>
          <w:lang w:val="vi-VN"/>
        </w:rPr>
        <w:sectPr w:rsidR="002A6DD5" w:rsidRPr="002A6DD5" w:rsidSect="002A6DD5">
          <w:type w:val="continuous"/>
          <w:pgSz w:w="11909" w:h="16834" w:code="9"/>
          <w:pgMar w:top="1134" w:right="1134" w:bottom="1134" w:left="1985" w:header="720" w:footer="720" w:gutter="0"/>
          <w:cols w:num="2" w:space="720"/>
          <w:titlePg/>
          <w:docGrid w:linePitch="360"/>
        </w:sectPr>
      </w:pPr>
      <w:r>
        <w:rPr>
          <w:rFonts w:ascii="Times New Roman" w:hAnsi="Times New Roman" w:cs="Times New Roman"/>
          <w:bCs/>
          <w:sz w:val="28"/>
          <w:szCs w:val="28"/>
          <w:lang w:val="vi-VN"/>
        </w:rPr>
        <w:t>3122410038</w:t>
      </w:r>
    </w:p>
    <w:p w14:paraId="456A8267" w14:textId="625A40C0" w:rsidR="004C558F" w:rsidRPr="00443FA4" w:rsidRDefault="004C558F" w:rsidP="002A6DD5">
      <w:pPr>
        <w:spacing w:line="276" w:lineRule="auto"/>
        <w:jc w:val="both"/>
        <w:rPr>
          <w:rFonts w:ascii="Times New Roman" w:hAnsi="Times New Roman" w:cs="Times New Roman"/>
          <w:b/>
          <w:bCs/>
          <w:sz w:val="28"/>
          <w:szCs w:val="28"/>
          <w:lang w:val="vi-VN"/>
        </w:rPr>
      </w:pPr>
    </w:p>
    <w:p w14:paraId="2A9FED43" w14:textId="5ECF9880" w:rsidR="00BA0799" w:rsidRPr="00443FA4" w:rsidRDefault="00E06C0F"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Giới thiệu</w:t>
      </w:r>
    </w:p>
    <w:p w14:paraId="52FDBCF5" w14:textId="4CC6D330" w:rsidR="00E06C0F" w:rsidRPr="00443FA4" w:rsidRDefault="00E06C0F" w:rsidP="002A6DD5">
      <w:pPr>
        <w:spacing w:line="276" w:lineRule="auto"/>
        <w:ind w:left="720"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Trong báo cáo này, chúng tôi tiến hành phân tích tập dữ liệu "Dự đoán giá vàng" (</w:t>
      </w:r>
      <w:r w:rsidRPr="00443FA4">
        <w:rPr>
          <w:rFonts w:ascii="Times New Roman" w:hAnsi="Times New Roman" w:cs="Times New Roman"/>
          <w:sz w:val="28"/>
          <w:szCs w:val="28"/>
        </w:rPr>
        <w:t>GoldPricePrediction</w:t>
      </w:r>
      <w:r w:rsidRPr="00443FA4">
        <w:rPr>
          <w:rFonts w:ascii="Times New Roman" w:hAnsi="Times New Roman" w:cs="Times New Roman"/>
          <w:sz w:val="28"/>
          <w:szCs w:val="28"/>
          <w:lang w:val="vi-VN"/>
        </w:rPr>
        <w:t>) với mục tiêu hiểu rõ hơn về cấu trúc dữ liệu, các thông tin chính liên quan đến biến động giá vàng, và các yếu tố kinh tế khác có ảnh hưởng đến giá vàng. Dữ liệu này được sử dụng để dự đoán giá vàng dựa trên các yếu tố kinh tế và tài chính khác nhau.</w:t>
      </w:r>
    </w:p>
    <w:p w14:paraId="7F7E316D" w14:textId="00B4C048" w:rsidR="00E06C0F" w:rsidRPr="00443FA4" w:rsidRDefault="00E06C0F"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Cấu trúc</w:t>
      </w:r>
      <w:r w:rsidR="00BA0799" w:rsidRPr="00443FA4">
        <w:rPr>
          <w:rFonts w:ascii="Times New Roman" w:hAnsi="Times New Roman" w:cs="Times New Roman"/>
          <w:b/>
          <w:bCs/>
          <w:sz w:val="28"/>
          <w:szCs w:val="28"/>
          <w:lang w:val="vi-VN"/>
        </w:rPr>
        <w:t xml:space="preserve"> dữ liệu</w:t>
      </w:r>
    </w:p>
    <w:p w14:paraId="2F679BB5" w14:textId="18DA8496" w:rsidR="00E06C0F" w:rsidRPr="00443FA4" w:rsidRDefault="00E06C0F" w:rsidP="002A6DD5">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Tổng quan về dữ liệu</w:t>
      </w:r>
    </w:p>
    <w:p w14:paraId="36EAEAF5" w14:textId="19C34A03" w:rsidR="00E06C0F" w:rsidRPr="00443FA4" w:rsidRDefault="00E06C0F" w:rsidP="002A6DD5">
      <w:pPr>
        <w:pStyle w:val="ListParagraph"/>
        <w:numPr>
          <w:ilvl w:val="0"/>
          <w:numId w:val="7"/>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bao gồm 676 dòng và 21 cột, chi tiết từng cột như sau:</w:t>
      </w:r>
    </w:p>
    <w:p w14:paraId="6D447EC2"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Date</w:t>
      </w:r>
      <w:r w:rsidRPr="00443FA4">
        <w:rPr>
          <w:rFonts w:ascii="Times New Roman" w:hAnsi="Times New Roman" w:cs="Times New Roman"/>
          <w:sz w:val="28"/>
          <w:szCs w:val="28"/>
          <w:lang w:val="vi-VN"/>
        </w:rPr>
        <w:t xml:space="preserve"> (Ngày): Ngày ghi nhận giá vàng.</w:t>
      </w:r>
    </w:p>
    <w:p w14:paraId="77BFDCCC"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2 Days Prior</w:t>
      </w:r>
      <w:r w:rsidRPr="00443FA4">
        <w:rPr>
          <w:rFonts w:ascii="Times New Roman" w:hAnsi="Times New Roman" w:cs="Times New Roman"/>
          <w:sz w:val="28"/>
          <w:szCs w:val="28"/>
          <w:lang w:val="vi-VN"/>
        </w:rPr>
        <w:t xml:space="preserve"> (Giá trước 2 ngày): Giá vàng của 2 ngày trước ngày được ghi nhận.</w:t>
      </w:r>
    </w:p>
    <w:p w14:paraId="168675EC"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1 Day Prior</w:t>
      </w:r>
      <w:r w:rsidRPr="00443FA4">
        <w:rPr>
          <w:rFonts w:ascii="Times New Roman" w:hAnsi="Times New Roman" w:cs="Times New Roman"/>
          <w:sz w:val="28"/>
          <w:szCs w:val="28"/>
          <w:lang w:val="vi-VN"/>
        </w:rPr>
        <w:t xml:space="preserve"> (Giá trước 1 ngày): Giá vàng của 1 ngày trước ngày được ghi nhận.</w:t>
      </w:r>
    </w:p>
    <w:p w14:paraId="3F66A34B"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Today</w:t>
      </w:r>
      <w:r w:rsidRPr="00443FA4">
        <w:rPr>
          <w:rFonts w:ascii="Times New Roman" w:hAnsi="Times New Roman" w:cs="Times New Roman"/>
          <w:sz w:val="28"/>
          <w:szCs w:val="28"/>
          <w:lang w:val="vi-VN"/>
        </w:rPr>
        <w:t xml:space="preserve"> (Giá hiện tại): Giá vàng trong ngày được ghi nhận.</w:t>
      </w:r>
    </w:p>
    <w:p w14:paraId="5F9355CD"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Tomorrow</w:t>
      </w:r>
      <w:r w:rsidRPr="00443FA4">
        <w:rPr>
          <w:rFonts w:ascii="Times New Roman" w:hAnsi="Times New Roman" w:cs="Times New Roman"/>
          <w:sz w:val="28"/>
          <w:szCs w:val="28"/>
          <w:lang w:val="vi-VN"/>
        </w:rPr>
        <w:t xml:space="preserve"> (Giá dự đoán ngày mai): Giá vàng dự đoán cho ngày hôm sau (có một số giá trị bị thiếu).</w:t>
      </w:r>
    </w:p>
    <w:p w14:paraId="324F8658"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Change Tomorrow</w:t>
      </w:r>
      <w:r w:rsidRPr="00443FA4">
        <w:rPr>
          <w:rFonts w:ascii="Times New Roman" w:hAnsi="Times New Roman" w:cs="Times New Roman"/>
          <w:sz w:val="28"/>
          <w:szCs w:val="28"/>
          <w:lang w:val="vi-VN"/>
        </w:rPr>
        <w:t xml:space="preserve"> (Mức thay đổi giá ngày mai): Mức độ thay đổi giá vàng dự đoán cho ngày hôm sau.</w:t>
      </w:r>
    </w:p>
    <w:p w14:paraId="2FE1B4E3"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Price Change Ten</w:t>
      </w:r>
      <w:r w:rsidRPr="00443FA4">
        <w:rPr>
          <w:rFonts w:ascii="Times New Roman" w:hAnsi="Times New Roman" w:cs="Times New Roman"/>
          <w:sz w:val="28"/>
          <w:szCs w:val="28"/>
          <w:lang w:val="vi-VN"/>
        </w:rPr>
        <w:t xml:space="preserve"> (Mức thay đổi giá trong 10 ngày): Mức độ thay đổi giá vàng trong 10 ngày tới (một số giá trị bị thiếu).</w:t>
      </w:r>
    </w:p>
    <w:p w14:paraId="00E536EB"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Std Dev 10</w:t>
      </w:r>
      <w:r w:rsidRPr="00443FA4">
        <w:rPr>
          <w:rFonts w:ascii="Times New Roman" w:hAnsi="Times New Roman" w:cs="Times New Roman"/>
          <w:sz w:val="28"/>
          <w:szCs w:val="28"/>
          <w:lang w:val="vi-VN"/>
        </w:rPr>
        <w:t xml:space="preserve"> (Độ lệch chuẩn trong 10 ngày): Độ lệch chuẩn của giá vàng trong 10 ngày.</w:t>
      </w:r>
    </w:p>
    <w:p w14:paraId="74788FAA"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Twenty Moving Average</w:t>
      </w:r>
      <w:r w:rsidRPr="00443FA4">
        <w:rPr>
          <w:rFonts w:ascii="Times New Roman" w:hAnsi="Times New Roman" w:cs="Times New Roman"/>
          <w:sz w:val="28"/>
          <w:szCs w:val="28"/>
          <w:lang w:val="vi-VN"/>
        </w:rPr>
        <w:t xml:space="preserve"> (Trung bình động 20 ngày): Giá vàng trung bình trong 20 ngày.</w:t>
      </w:r>
    </w:p>
    <w:p w14:paraId="502C52BC"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Fifty Day Moving Average</w:t>
      </w:r>
      <w:r w:rsidRPr="00443FA4">
        <w:rPr>
          <w:rFonts w:ascii="Times New Roman" w:hAnsi="Times New Roman" w:cs="Times New Roman"/>
          <w:sz w:val="28"/>
          <w:szCs w:val="28"/>
          <w:lang w:val="vi-VN"/>
        </w:rPr>
        <w:t xml:space="preserve"> (Trung bình động 50 ngày): Giá vàng trung bình trong 50 ngày.</w:t>
      </w:r>
    </w:p>
    <w:p w14:paraId="4F6EE3EB"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200 Day Moving Average</w:t>
      </w:r>
      <w:r w:rsidRPr="00443FA4">
        <w:rPr>
          <w:rFonts w:ascii="Times New Roman" w:hAnsi="Times New Roman" w:cs="Times New Roman"/>
          <w:sz w:val="28"/>
          <w:szCs w:val="28"/>
          <w:lang w:val="vi-VN"/>
        </w:rPr>
        <w:t xml:space="preserve"> (Trung bình động 200 ngày): Giá vàng trung bình trong 200 ngày.</w:t>
      </w:r>
    </w:p>
    <w:p w14:paraId="6C2A7E3E"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lastRenderedPageBreak/>
        <w:t>Monthly Inflation Rate</w:t>
      </w:r>
      <w:r w:rsidRPr="00443FA4">
        <w:rPr>
          <w:rFonts w:ascii="Times New Roman" w:hAnsi="Times New Roman" w:cs="Times New Roman"/>
          <w:sz w:val="28"/>
          <w:szCs w:val="28"/>
          <w:lang w:val="vi-VN"/>
        </w:rPr>
        <w:t xml:space="preserve"> (Tỷ lệ lạm phát hàng tháng): Tỷ lệ lạm phát theo tháng.</w:t>
      </w:r>
    </w:p>
    <w:p w14:paraId="353A027E"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EFFR</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Rate</w:t>
      </w:r>
      <w:r w:rsidRPr="00443FA4">
        <w:rPr>
          <w:rFonts w:ascii="Times New Roman" w:hAnsi="Times New Roman" w:cs="Times New Roman"/>
          <w:sz w:val="28"/>
          <w:szCs w:val="28"/>
          <w:lang w:val="vi-VN"/>
        </w:rPr>
        <w:t xml:space="preserve"> (Lãi suất EFFR): Lãi suất quỹ liên bang (EFFR).</w:t>
      </w:r>
    </w:p>
    <w:p w14:paraId="0D7E59E4"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Volume</w:t>
      </w:r>
      <w:r w:rsidRPr="00443FA4">
        <w:rPr>
          <w:rFonts w:ascii="Times New Roman" w:hAnsi="Times New Roman" w:cs="Times New Roman"/>
          <w:sz w:val="28"/>
          <w:szCs w:val="28"/>
          <w:lang w:val="vi-VN"/>
        </w:rPr>
        <w:t xml:space="preserve"> (Khối lượng giao dịch): Khối lượng giao dịch.</w:t>
      </w:r>
    </w:p>
    <w:p w14:paraId="434B498F"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Treasury</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Par</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Yield</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Month</w:t>
      </w:r>
      <w:r w:rsidRPr="00443FA4">
        <w:rPr>
          <w:rFonts w:ascii="Times New Roman" w:hAnsi="Times New Roman" w:cs="Times New Roman"/>
          <w:sz w:val="28"/>
          <w:szCs w:val="28"/>
          <w:lang w:val="vi-VN"/>
        </w:rPr>
        <w:t xml:space="preserve"> (Lợi suất trái phiếu kho bạc tháng): Lợi suất trái phiếu kho bạc tháng hiện tại.</w:t>
      </w:r>
    </w:p>
    <w:p w14:paraId="3A51C299"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Treasury</w:t>
      </w:r>
      <w:r w:rsidRPr="00443FA4">
        <w:rPr>
          <w:rFonts w:ascii="Times New Roman" w:hAnsi="Times New Roman" w:cs="Times New Roman"/>
          <w:sz w:val="28"/>
          <w:szCs w:val="28"/>
          <w:lang w:val="vi-VN"/>
        </w:rPr>
        <w:t xml:space="preserve"> </w:t>
      </w:r>
      <w:r w:rsidRPr="00443FA4">
        <w:rPr>
          <w:rFonts w:ascii="Times New Roman" w:hAnsi="Times New Roman" w:cs="Times New Roman"/>
          <w:b/>
          <w:bCs/>
          <w:sz w:val="28"/>
          <w:szCs w:val="28"/>
          <w:lang w:val="vi-VN"/>
        </w:rPr>
        <w:t>Par Yield Two Year</w:t>
      </w:r>
      <w:r w:rsidRPr="00443FA4">
        <w:rPr>
          <w:rFonts w:ascii="Times New Roman" w:hAnsi="Times New Roman" w:cs="Times New Roman"/>
          <w:sz w:val="28"/>
          <w:szCs w:val="28"/>
          <w:lang w:val="vi-VN"/>
        </w:rPr>
        <w:t xml:space="preserve"> (Lợi suất trái phiếu kho bạc 2 năm): Lợi suất trái phiếu kho bạc kỳ hạn 2 năm.</w:t>
      </w:r>
    </w:p>
    <w:p w14:paraId="6DA344A4"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Treasury Par Yield Curve Rates</w:t>
      </w:r>
      <w:r w:rsidRPr="00443FA4">
        <w:rPr>
          <w:rFonts w:ascii="Times New Roman" w:hAnsi="Times New Roman" w:cs="Times New Roman"/>
          <w:sz w:val="28"/>
          <w:szCs w:val="28"/>
          <w:lang w:val="vi-VN"/>
        </w:rPr>
        <w:t xml:space="preserve"> (10 Yr) (Lợi suất trái phiếu kho bạc 10 năm): Lợi suất trái phiếu kho bạc kỳ hạn 10 năm.</w:t>
      </w:r>
    </w:p>
    <w:p w14:paraId="2B8D3859"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DXY</w:t>
      </w:r>
      <w:r w:rsidRPr="00443FA4">
        <w:rPr>
          <w:rFonts w:ascii="Times New Roman" w:hAnsi="Times New Roman" w:cs="Times New Roman"/>
          <w:sz w:val="28"/>
          <w:szCs w:val="28"/>
          <w:lang w:val="vi-VN"/>
        </w:rPr>
        <w:t xml:space="preserve"> (Chỉ số DXY): Chỉ số đô la Mỹ (DXY).</w:t>
      </w:r>
    </w:p>
    <w:p w14:paraId="63B7700B"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SP Open</w:t>
      </w:r>
      <w:r w:rsidRPr="00443FA4">
        <w:rPr>
          <w:rFonts w:ascii="Times New Roman" w:hAnsi="Times New Roman" w:cs="Times New Roman"/>
          <w:sz w:val="28"/>
          <w:szCs w:val="28"/>
          <w:lang w:val="vi-VN"/>
        </w:rPr>
        <w:t xml:space="preserve"> (Giá mở cửa của S&amp;P 500): Giá mở cửa của chỉ số S&amp;P 500.</w:t>
      </w:r>
    </w:p>
    <w:p w14:paraId="0F523B4D" w14:textId="77777777" w:rsidR="00E06C0F" w:rsidRPr="00443FA4"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VIX</w:t>
      </w:r>
      <w:r w:rsidRPr="00443FA4">
        <w:rPr>
          <w:rFonts w:ascii="Times New Roman" w:hAnsi="Times New Roman" w:cs="Times New Roman"/>
          <w:sz w:val="28"/>
          <w:szCs w:val="28"/>
          <w:lang w:val="vi-VN"/>
        </w:rPr>
        <w:t>: Chỉ số đo lường biến động (VIX).</w:t>
      </w:r>
    </w:p>
    <w:p w14:paraId="4E9EA348" w14:textId="1B9C310F" w:rsidR="00E06C0F" w:rsidRDefault="00E06C0F" w:rsidP="002A6DD5">
      <w:pPr>
        <w:pStyle w:val="ListParagraph"/>
        <w:numPr>
          <w:ilvl w:val="0"/>
          <w:numId w:val="2"/>
        </w:numPr>
        <w:spacing w:line="276" w:lineRule="auto"/>
        <w:jc w:val="both"/>
        <w:rPr>
          <w:rFonts w:ascii="Times New Roman" w:hAnsi="Times New Roman" w:cs="Times New Roman"/>
          <w:sz w:val="28"/>
          <w:szCs w:val="28"/>
          <w:lang w:val="vi-VN"/>
        </w:rPr>
      </w:pPr>
      <w:r w:rsidRPr="00443FA4">
        <w:rPr>
          <w:rFonts w:ascii="Times New Roman" w:hAnsi="Times New Roman" w:cs="Times New Roman"/>
          <w:b/>
          <w:bCs/>
          <w:sz w:val="28"/>
          <w:szCs w:val="28"/>
          <w:lang w:val="vi-VN"/>
        </w:rPr>
        <w:t>Crude</w:t>
      </w:r>
      <w:r w:rsidRPr="00443FA4">
        <w:rPr>
          <w:rFonts w:ascii="Times New Roman" w:hAnsi="Times New Roman" w:cs="Times New Roman"/>
          <w:sz w:val="28"/>
          <w:szCs w:val="28"/>
          <w:lang w:val="vi-VN"/>
        </w:rPr>
        <w:t xml:space="preserve"> (Giá dầu thô): Giá dầu thô.</w:t>
      </w:r>
    </w:p>
    <w:p w14:paraId="5212DC9F" w14:textId="12E71234" w:rsidR="004C558F" w:rsidRPr="004C558F" w:rsidRDefault="004C558F" w:rsidP="002A6DD5">
      <w:pPr>
        <w:spacing w:line="276" w:lineRule="auto"/>
        <w:ind w:left="1440"/>
        <w:jc w:val="both"/>
        <w:rPr>
          <w:rFonts w:ascii="Times New Roman" w:hAnsi="Times New Roman" w:cs="Times New Roman"/>
          <w:sz w:val="28"/>
          <w:szCs w:val="28"/>
          <w:lang w:val="vi-VN"/>
        </w:rPr>
      </w:pPr>
    </w:p>
    <w:p w14:paraId="06532EBD" w14:textId="44E9C4EF" w:rsidR="00E06C0F" w:rsidRPr="00443FA4" w:rsidRDefault="00E06C0F" w:rsidP="002A6DD5">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Kiểu dữ liệu</w:t>
      </w:r>
    </w:p>
    <w:p w14:paraId="78D49681" w14:textId="77777777" w:rsidR="001D1E7A" w:rsidRPr="00443FA4" w:rsidRDefault="001D1E7A" w:rsidP="002A6DD5">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Object (chuỗi ký tự): 1 cột</w:t>
      </w:r>
    </w:p>
    <w:p w14:paraId="0E9ED085"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Date (Ngày)</w:t>
      </w:r>
    </w:p>
    <w:p w14:paraId="7DB24951" w14:textId="77777777" w:rsidR="001D1E7A" w:rsidRPr="00443FA4" w:rsidRDefault="001D1E7A" w:rsidP="002A6DD5">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Float64 (số thực): 19 cột</w:t>
      </w:r>
    </w:p>
    <w:p w14:paraId="3BB3A1CF"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2 Days Prior</w:t>
      </w:r>
    </w:p>
    <w:p w14:paraId="755365ED"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1 Day Prior</w:t>
      </w:r>
    </w:p>
    <w:p w14:paraId="1B7A2C3C"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Today</w:t>
      </w:r>
    </w:p>
    <w:p w14:paraId="38FFCC72"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Tomorrow</w:t>
      </w:r>
    </w:p>
    <w:p w14:paraId="4852F24D"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Tomorrow</w:t>
      </w:r>
    </w:p>
    <w:p w14:paraId="3126595A"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Ten</w:t>
      </w:r>
    </w:p>
    <w:p w14:paraId="273EA252"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Std Dev 10</w:t>
      </w:r>
    </w:p>
    <w:p w14:paraId="28E5E85A"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Twenty Moving Average</w:t>
      </w:r>
    </w:p>
    <w:p w14:paraId="170F7FE4"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Fifty Day Moving Average</w:t>
      </w:r>
    </w:p>
    <w:p w14:paraId="48AA1456"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200 Day Moving Average</w:t>
      </w:r>
    </w:p>
    <w:p w14:paraId="3FDAFE29"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Monthly Inflation Rate</w:t>
      </w:r>
    </w:p>
    <w:p w14:paraId="4F553958"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EFFR Rate</w:t>
      </w:r>
    </w:p>
    <w:p w14:paraId="1385C5A1"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Month</w:t>
      </w:r>
    </w:p>
    <w:p w14:paraId="0DFB711B"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Two Year</w:t>
      </w:r>
    </w:p>
    <w:p w14:paraId="022ED475"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Treasury Par Yield Curve Rates (10 Yr)</w:t>
      </w:r>
    </w:p>
    <w:p w14:paraId="59993018"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DXY</w:t>
      </w:r>
    </w:p>
    <w:p w14:paraId="64D6ED46"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lastRenderedPageBreak/>
        <w:t>SP Open</w:t>
      </w:r>
    </w:p>
    <w:p w14:paraId="24597E22"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VIX</w:t>
      </w:r>
    </w:p>
    <w:p w14:paraId="1848A0D1" w14:textId="77777777" w:rsidR="001D1E7A" w:rsidRPr="00443FA4"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Crude</w:t>
      </w:r>
    </w:p>
    <w:p w14:paraId="354E29D3" w14:textId="77777777" w:rsidR="001D1E7A" w:rsidRPr="00443FA4" w:rsidRDefault="001D1E7A" w:rsidP="002A6DD5">
      <w:pPr>
        <w:pStyle w:val="ListParagraph"/>
        <w:numPr>
          <w:ilvl w:val="0"/>
          <w:numId w:val="8"/>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Int64 (số nguyên): 1 cột</w:t>
      </w:r>
    </w:p>
    <w:p w14:paraId="3E9BC4AA" w14:textId="546EA9BD" w:rsidR="001D1E7A" w:rsidRDefault="001D1E7A" w:rsidP="002A6DD5">
      <w:pPr>
        <w:pStyle w:val="ListParagraph"/>
        <w:numPr>
          <w:ilvl w:val="0"/>
          <w:numId w:val="9"/>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Volume (Khối lượng giao dịch)</w:t>
      </w:r>
    </w:p>
    <w:p w14:paraId="3472A7E7" w14:textId="5E83EDAD" w:rsidR="004C558F" w:rsidRPr="00443FA4" w:rsidRDefault="004C558F" w:rsidP="002A6DD5">
      <w:pPr>
        <w:pStyle w:val="ListParagraph"/>
        <w:spacing w:line="276" w:lineRule="auto"/>
        <w:ind w:left="1800"/>
        <w:jc w:val="both"/>
        <w:rPr>
          <w:rFonts w:ascii="Times New Roman" w:hAnsi="Times New Roman" w:cs="Times New Roman"/>
          <w:sz w:val="28"/>
          <w:szCs w:val="28"/>
          <w:lang w:val="vi-VN"/>
        </w:rPr>
      </w:pPr>
      <w:r w:rsidRPr="004C558F">
        <w:rPr>
          <w:rFonts w:ascii="Times New Roman" w:hAnsi="Times New Roman" w:cs="Times New Roman"/>
          <w:sz w:val="28"/>
          <w:szCs w:val="28"/>
          <w:lang w:val="vi-VN"/>
        </w:rPr>
        <w:drawing>
          <wp:inline distT="0" distB="0" distL="0" distR="0" wp14:anchorId="0641E982" wp14:editId="6F69F2B9">
            <wp:extent cx="5581650" cy="4050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4050665"/>
                    </a:xfrm>
                    <a:prstGeom prst="rect">
                      <a:avLst/>
                    </a:prstGeom>
                  </pic:spPr>
                </pic:pic>
              </a:graphicData>
            </a:graphic>
          </wp:inline>
        </w:drawing>
      </w:r>
    </w:p>
    <w:p w14:paraId="72E873E4" w14:textId="708A4436" w:rsidR="001D1E7A" w:rsidRPr="00443FA4" w:rsidRDefault="001D1E7A" w:rsidP="002A6DD5">
      <w:pPr>
        <w:pStyle w:val="ListParagraph"/>
        <w:numPr>
          <w:ilvl w:val="0"/>
          <w:numId w:val="6"/>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Dữ liệu bị thiếu</w:t>
      </w:r>
    </w:p>
    <w:p w14:paraId="462EEA85" w14:textId="77777777" w:rsidR="001D1E7A" w:rsidRPr="00443FA4" w:rsidRDefault="001D1E7A" w:rsidP="002A6DD5">
      <w:pPr>
        <w:pStyle w:val="ListParagraph"/>
        <w:numPr>
          <w:ilvl w:val="0"/>
          <w:numId w:val="10"/>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Trong tập dữ liệu, một số cột chứa giá trị NaN (dữ liệu bị thiếu). Cụ thể:</w:t>
      </w:r>
    </w:p>
    <w:p w14:paraId="10E7CDE8" w14:textId="52604F0F" w:rsidR="001D1E7A" w:rsidRPr="00443FA4" w:rsidRDefault="001D1E7A" w:rsidP="002A6DD5">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Tomorrow: 1 giá trị NaN.</w:t>
      </w:r>
    </w:p>
    <w:p w14:paraId="27D2EBBD" w14:textId="63D07BB3" w:rsidR="001D1E7A" w:rsidRPr="00443FA4" w:rsidRDefault="001D1E7A" w:rsidP="002A6DD5">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Tomorrow: 1 giá trị NaN.</w:t>
      </w:r>
    </w:p>
    <w:p w14:paraId="61AA7CD0" w14:textId="63B9A3DF" w:rsidR="001D1E7A" w:rsidRPr="00443FA4" w:rsidRDefault="001D1E7A" w:rsidP="002A6DD5">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Price Change Ten: 10 giá trị NaN.</w:t>
      </w:r>
    </w:p>
    <w:p w14:paraId="64831885" w14:textId="250F1DA6" w:rsidR="001D1E7A" w:rsidRPr="00443FA4" w:rsidRDefault="001D1E7A" w:rsidP="002A6DD5">
      <w:pPr>
        <w:pStyle w:val="ListParagraph"/>
        <w:numPr>
          <w:ilvl w:val="0"/>
          <w:numId w:val="11"/>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Std Dev 10: 9 giá trị NaN.</w:t>
      </w:r>
    </w:p>
    <w:p w14:paraId="76D0E004" w14:textId="4E9187AF" w:rsidR="001D1E7A" w:rsidRDefault="001D1E7A" w:rsidP="002A6DD5">
      <w:pPr>
        <w:pStyle w:val="ListParagraph"/>
        <w:numPr>
          <w:ilvl w:val="0"/>
          <w:numId w:val="12"/>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Các giá trị này cần được xử lý trước khi tiến hành các phân tích sâu hơn.</w:t>
      </w:r>
    </w:p>
    <w:p w14:paraId="79399B1D" w14:textId="586AFDEC" w:rsidR="004C558F" w:rsidRPr="004C558F" w:rsidRDefault="004C558F" w:rsidP="002A6DD5">
      <w:pPr>
        <w:pStyle w:val="ListParagraph"/>
        <w:spacing w:line="276" w:lineRule="auto"/>
        <w:ind w:left="1170"/>
        <w:jc w:val="both"/>
        <w:rPr>
          <w:rFonts w:ascii="Times New Roman" w:hAnsi="Times New Roman" w:cs="Times New Roman"/>
          <w:sz w:val="28"/>
          <w:szCs w:val="28"/>
          <w:lang w:val="vi-VN"/>
        </w:rPr>
      </w:pPr>
      <w:bookmarkStart w:id="0" w:name="_GoBack"/>
      <w:bookmarkEnd w:id="0"/>
      <w:r w:rsidRPr="004C558F">
        <w:rPr>
          <w:rFonts w:ascii="Times New Roman" w:hAnsi="Times New Roman" w:cs="Times New Roman"/>
          <w:sz w:val="28"/>
          <w:szCs w:val="28"/>
          <w:lang w:val="vi-VN"/>
        </w:rPr>
        <w:lastRenderedPageBreak/>
        <w:drawing>
          <wp:inline distT="0" distB="0" distL="0" distR="0" wp14:anchorId="7645A9EA" wp14:editId="69947E73">
            <wp:extent cx="4829849" cy="433448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4334480"/>
                    </a:xfrm>
                    <a:prstGeom prst="rect">
                      <a:avLst/>
                    </a:prstGeom>
                  </pic:spPr>
                </pic:pic>
              </a:graphicData>
            </a:graphic>
          </wp:inline>
        </w:drawing>
      </w:r>
    </w:p>
    <w:p w14:paraId="18F384C7" w14:textId="7904E35D" w:rsidR="00BA0799" w:rsidRPr="00443FA4" w:rsidRDefault="00BA0799"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Phân tích chi tiết</w:t>
      </w:r>
    </w:p>
    <w:p w14:paraId="6E47DE82" w14:textId="76318315"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giá vàng: Các cột "Price 2 Days Prior", "Price 1 Day Prior", "Price Today", và "Price Tomorrow" cho thấy xu hướng giá vàng trong một khoảng thời gian ngắn (2 ngày trước, 1 ngày trước và hôm nay). Ngoài ra, các cột "Twenty Moving Average", "Fifty Day Moving Average", và "200 Day Moving Average" cung cấp các xu hướng dài hạn hơn của giá vàng.</w:t>
      </w:r>
    </w:p>
    <w:p w14:paraId="0C492FB3" w14:textId="616E5241"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Dự báo giá: "Price Tomorrow" và "Price Change Tomorrow" giúp dự báo giá vàng vào ngày tiếp theo và mức thay đổi dự kiến. Tuy nhiên, một số giá trị bị thiếu trong cột "Price Tomorrow".</w:t>
      </w:r>
    </w:p>
    <w:p w14:paraId="13EAA2A7" w14:textId="3F0ADC16"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Lạm phát và lãi suất: "Monthly Inflation Rate" và "EFFR Rate" cung cấp thông tin về tỷ lệ lạm phát và lãi suất, hai yếu tố quan trọng có thể ảnh hưởng đến giá vàng, bởi vàng thường được coi là tài sản phòng vệ trong thời kỳ lạm phát cao hoặc lãi suất thấp.</w:t>
      </w:r>
    </w:p>
    <w:p w14:paraId="4BA0A7D6" w14:textId="57B8907F"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Khối lượng giao dịch: Cột "Volume" cho biết số lượng giao dịch vàng trong mỗi ngày, giúp phân tích mức độ quan tâm và biến động của thị trường.</w:t>
      </w:r>
    </w:p>
    <w:p w14:paraId="3E11BDC8" w14:textId="32E4B932"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 xml:space="preserve">Lợi suất trái phiếu: Các cột về "Treasury Par Yield" cho thấy mức lợi suất của trái phiếu kho bạc ở các kỳ hạn khác nhau (tháng, 2 năm, </w:t>
      </w:r>
      <w:r w:rsidRPr="00443FA4">
        <w:rPr>
          <w:rFonts w:ascii="Times New Roman" w:hAnsi="Times New Roman" w:cs="Times New Roman"/>
          <w:sz w:val="28"/>
          <w:szCs w:val="28"/>
          <w:lang w:val="vi-VN"/>
        </w:rPr>
        <w:lastRenderedPageBreak/>
        <w:t>10 năm), có thể ảnh hưởng đến giá vàng vì lợi suất trái phiếu thường được xem là thước đo của nền kinh tế.</w:t>
      </w:r>
    </w:p>
    <w:p w14:paraId="08F353D0" w14:textId="49AA64B8" w:rsidR="00BA0799" w:rsidRPr="00443FA4" w:rsidRDefault="00BA0799" w:rsidP="002A6DD5">
      <w:pPr>
        <w:pStyle w:val="ListParagraph"/>
        <w:numPr>
          <w:ilvl w:val="0"/>
          <w:numId w:val="5"/>
        </w:numPr>
        <w:spacing w:line="276" w:lineRule="auto"/>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Chỉ số thị trường: Các chỉ số "DXY", "SP Open", "VIX", và "Crude" cho phép so sánh giá vàng với các chỉ số quan trọng khác như chỉ số đô la Mỹ (DXY), giá mở cửa của S&amp;P 500, chỉ số biến động (VIX), và giá dầu thô.</w:t>
      </w:r>
    </w:p>
    <w:p w14:paraId="4539796B" w14:textId="7D22161B" w:rsidR="00BA0799" w:rsidRPr="00443FA4" w:rsidRDefault="001D1E7A"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Nhận xét và hướng xử lý tiếp theo</w:t>
      </w:r>
    </w:p>
    <w:p w14:paraId="2770C633" w14:textId="77777777" w:rsidR="001D1E7A" w:rsidRPr="00443FA4" w:rsidRDefault="001D1E7A" w:rsidP="002A6DD5">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Dữ liệu cung cấp đầy đủ các thông tin liên quan đến giá vàng, khối lượng giao dịch, và các yếu tố kinh tế khác. Tuy nhiên, có một số cột chứa dữ liệu thiếu (NaN), cần xử lý trước khi thực hiện các phân tích dự báo chính xác.</w:t>
      </w:r>
    </w:p>
    <w:p w14:paraId="48858836" w14:textId="2C705D62" w:rsidR="001D1E7A" w:rsidRPr="00443FA4" w:rsidRDefault="001D1E7A" w:rsidP="002A6DD5">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Để tiếp tục phân tích, chúng tôi sẽ xử lý các giá trị NaN, áp dụng các phương pháp thống kê để tìm hiểu sự tương quan giữa các yếu tố kinh tế và giá vàng, từ đó xây dựng mô hình dự đoán giá vàng chính xác hơn.</w:t>
      </w:r>
    </w:p>
    <w:p w14:paraId="42F82D43" w14:textId="6D53ADF7" w:rsidR="001D1E7A" w:rsidRPr="00443FA4" w:rsidRDefault="007A03A4"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Kết luận</w:t>
      </w:r>
    </w:p>
    <w:p w14:paraId="4BB24D3C" w14:textId="042F0774" w:rsidR="007A03A4" w:rsidRPr="00443FA4" w:rsidRDefault="007A03A4" w:rsidP="002A6DD5">
      <w:pPr>
        <w:pStyle w:val="ListParagraph"/>
        <w:spacing w:line="276" w:lineRule="auto"/>
        <w:ind w:firstLine="720"/>
        <w:jc w:val="both"/>
        <w:rPr>
          <w:rFonts w:ascii="Times New Roman" w:hAnsi="Times New Roman" w:cs="Times New Roman"/>
          <w:sz w:val="28"/>
          <w:szCs w:val="28"/>
          <w:lang w:val="vi-VN"/>
        </w:rPr>
      </w:pPr>
      <w:r w:rsidRPr="00443FA4">
        <w:rPr>
          <w:rFonts w:ascii="Times New Roman" w:hAnsi="Times New Roman" w:cs="Times New Roman"/>
          <w:sz w:val="28"/>
          <w:szCs w:val="28"/>
          <w:lang w:val="vi-VN"/>
        </w:rPr>
        <w:t>Báo cáo này đã trình bày tổng quan về cấu trúc dữ liệu, các biến chính, và tình trạng dữ liệu thiếu. Sau khi xử lý dữ liệu, chúng tôi sẽ tiến hành các phân tích và dự đoán chi tiết hơn về biến động giá vàng, bao gồm sử dụng các phương pháp học máy (machine learning) để dự đoán xu hướng giá.</w:t>
      </w:r>
    </w:p>
    <w:p w14:paraId="61148F72" w14:textId="5004DDF4" w:rsidR="007A03A4" w:rsidRPr="00443FA4" w:rsidRDefault="007A03A4" w:rsidP="002A6DD5">
      <w:pPr>
        <w:pStyle w:val="ListParagraph"/>
        <w:numPr>
          <w:ilvl w:val="0"/>
          <w:numId w:val="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Nguồn tài liệu</w:t>
      </w:r>
    </w:p>
    <w:p w14:paraId="20C07C3C" w14:textId="311381FE" w:rsidR="007A03A4" w:rsidRDefault="007A03A4" w:rsidP="002A6DD5">
      <w:pPr>
        <w:pStyle w:val="ListParagraph"/>
        <w:numPr>
          <w:ilvl w:val="0"/>
          <w:numId w:val="1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 xml:space="preserve">Nguồn dữ </w:t>
      </w:r>
      <w:r w:rsidR="004C558F">
        <w:rPr>
          <w:rFonts w:ascii="Times New Roman" w:hAnsi="Times New Roman" w:cs="Times New Roman"/>
          <w:b/>
          <w:bCs/>
          <w:sz w:val="28"/>
          <w:szCs w:val="28"/>
          <w:lang w:val="vi-VN"/>
        </w:rPr>
        <w:t>liệu:</w:t>
      </w:r>
    </w:p>
    <w:p w14:paraId="4A87CD39" w14:textId="65A49DE6" w:rsidR="004C558F" w:rsidRDefault="004C558F" w:rsidP="002A6DD5">
      <w:pPr>
        <w:spacing w:line="276" w:lineRule="auto"/>
        <w:ind w:left="108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Tập dữ liệu được lấy từ trang web </w:t>
      </w:r>
    </w:p>
    <w:p w14:paraId="774A6C26" w14:textId="72E800C4" w:rsidR="004C558F" w:rsidRDefault="004C558F" w:rsidP="002A6DD5">
      <w:pPr>
        <w:spacing w:line="276" w:lineRule="auto"/>
        <w:ind w:left="1080"/>
        <w:jc w:val="both"/>
        <w:rPr>
          <w:rFonts w:ascii="Times New Roman" w:hAnsi="Times New Roman" w:cs="Times New Roman"/>
          <w:bCs/>
          <w:sz w:val="28"/>
          <w:szCs w:val="28"/>
          <w:lang w:val="vi-VN"/>
        </w:rPr>
      </w:pPr>
      <w:hyperlink r:id="rId8" w:history="1">
        <w:r w:rsidRPr="006870F6">
          <w:rPr>
            <w:rStyle w:val="Hyperlink"/>
            <w:rFonts w:ascii="Times New Roman" w:hAnsi="Times New Roman" w:cs="Times New Roman"/>
            <w:bCs/>
            <w:sz w:val="28"/>
            <w:szCs w:val="28"/>
            <w:lang w:val="vi-VN"/>
          </w:rPr>
          <w:t>https://www.kaggle.com/datasets</w:t>
        </w:r>
      </w:hyperlink>
    </w:p>
    <w:p w14:paraId="4972493A" w14:textId="3490719C" w:rsidR="004C558F" w:rsidRPr="004C558F" w:rsidRDefault="004C558F" w:rsidP="002A6DD5">
      <w:pPr>
        <w:spacing w:line="276" w:lineRule="auto"/>
        <w:jc w:val="both"/>
        <w:rPr>
          <w:rFonts w:ascii="Times New Roman" w:hAnsi="Times New Roman" w:cs="Times New Roman"/>
          <w:b/>
          <w:bCs/>
          <w:sz w:val="28"/>
          <w:szCs w:val="28"/>
          <w:lang w:val="vi-VN"/>
        </w:rPr>
      </w:pPr>
      <w:r w:rsidRPr="004C558F">
        <w:rPr>
          <w:rFonts w:ascii="Times New Roman" w:hAnsi="Times New Roman" w:cs="Times New Roman"/>
          <w:b/>
          <w:bCs/>
          <w:sz w:val="28"/>
          <w:szCs w:val="28"/>
          <w:lang w:val="vi-VN"/>
        </w:rPr>
        <w:tab/>
        <w:t xml:space="preserve">     Tập dữ liệu chính :</w:t>
      </w:r>
    </w:p>
    <w:p w14:paraId="3DA246B0" w14:textId="2A123C68"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9" w:history="1">
        <w:r w:rsidR="007A03A4" w:rsidRPr="00443FA4">
          <w:rPr>
            <w:rStyle w:val="Hyperlink"/>
            <w:rFonts w:ascii="Times New Roman" w:hAnsi="Times New Roman" w:cs="Times New Roman"/>
            <w:sz w:val="28"/>
            <w:szCs w:val="28"/>
            <w:lang w:val="vi-VN"/>
          </w:rPr>
          <w:t>https://www.kaggle.com/datasets/cvergnolle/gold-price-and-relevant-metrics/data</w:t>
        </w:r>
      </w:hyperlink>
      <w:r w:rsidR="007A03A4" w:rsidRPr="00443FA4">
        <w:rPr>
          <w:rFonts w:ascii="Times New Roman" w:hAnsi="Times New Roman" w:cs="Times New Roman"/>
          <w:sz w:val="28"/>
          <w:szCs w:val="28"/>
          <w:lang w:val="vi-VN"/>
        </w:rPr>
        <w:t xml:space="preserve"> </w:t>
      </w:r>
    </w:p>
    <w:p w14:paraId="2AFBF149" w14:textId="477D98CF" w:rsidR="007A03A4" w:rsidRPr="00443FA4" w:rsidRDefault="007A03A4" w:rsidP="002A6DD5">
      <w:pPr>
        <w:pStyle w:val="ListParagraph"/>
        <w:numPr>
          <w:ilvl w:val="0"/>
          <w:numId w:val="14"/>
        </w:numPr>
        <w:spacing w:line="276" w:lineRule="auto"/>
        <w:jc w:val="both"/>
        <w:rPr>
          <w:rFonts w:ascii="Times New Roman" w:hAnsi="Times New Roman" w:cs="Times New Roman"/>
          <w:b/>
          <w:bCs/>
          <w:sz w:val="28"/>
          <w:szCs w:val="28"/>
          <w:lang w:val="vi-VN"/>
        </w:rPr>
      </w:pPr>
      <w:r w:rsidRPr="00443FA4">
        <w:rPr>
          <w:rFonts w:ascii="Times New Roman" w:hAnsi="Times New Roman" w:cs="Times New Roman"/>
          <w:b/>
          <w:bCs/>
          <w:sz w:val="28"/>
          <w:szCs w:val="28"/>
          <w:lang w:val="vi-VN"/>
        </w:rPr>
        <w:t>Nguồn dữ liệu khác</w:t>
      </w:r>
    </w:p>
    <w:p w14:paraId="74D60DCA" w14:textId="57790E17"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0" w:history="1">
        <w:r w:rsidR="007A03A4" w:rsidRPr="00443FA4">
          <w:rPr>
            <w:rStyle w:val="Hyperlink"/>
            <w:rFonts w:ascii="Times New Roman" w:hAnsi="Times New Roman" w:cs="Times New Roman"/>
            <w:sz w:val="28"/>
            <w:szCs w:val="28"/>
          </w:rPr>
          <w:t>https://www.usagold.com/daily-gold-price-history/</w:t>
        </w:r>
      </w:hyperlink>
    </w:p>
    <w:p w14:paraId="6430DD85" w14:textId="281F818A"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1" w:history="1">
        <w:r w:rsidR="007A03A4" w:rsidRPr="00443FA4">
          <w:rPr>
            <w:rStyle w:val="Hyperlink"/>
            <w:rFonts w:ascii="Times New Roman" w:hAnsi="Times New Roman" w:cs="Times New Roman"/>
            <w:sz w:val="28"/>
            <w:szCs w:val="28"/>
            <w:lang w:val="vi-VN"/>
          </w:rPr>
          <w:t>https://www.usinflationcalculator.com/inflation/historical-inflation-rates/</w:t>
        </w:r>
      </w:hyperlink>
    </w:p>
    <w:p w14:paraId="4FD36F39" w14:textId="30633359"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2" w:history="1">
        <w:r w:rsidR="007A03A4" w:rsidRPr="00443FA4">
          <w:rPr>
            <w:rStyle w:val="Hyperlink"/>
            <w:rFonts w:ascii="Times New Roman" w:hAnsi="Times New Roman" w:cs="Times New Roman"/>
            <w:sz w:val="28"/>
            <w:szCs w:val="28"/>
            <w:lang w:val="vi-VN"/>
          </w:rPr>
          <w:t>https://www.newyorkfed.org/markets/reference-rates/effr</w:t>
        </w:r>
      </w:hyperlink>
      <w:r w:rsidR="007A03A4" w:rsidRPr="00443FA4">
        <w:rPr>
          <w:rFonts w:ascii="Times New Roman" w:hAnsi="Times New Roman" w:cs="Times New Roman"/>
          <w:sz w:val="28"/>
          <w:szCs w:val="28"/>
          <w:lang w:val="vi-VN"/>
        </w:rPr>
        <w:t xml:space="preserve"> </w:t>
      </w:r>
    </w:p>
    <w:p w14:paraId="0DCB366C" w14:textId="606290C5"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3" w:history="1">
        <w:r w:rsidR="007A03A4" w:rsidRPr="00443FA4">
          <w:rPr>
            <w:rStyle w:val="Hyperlink"/>
            <w:rFonts w:ascii="Times New Roman" w:hAnsi="Times New Roman" w:cs="Times New Roman"/>
            <w:sz w:val="28"/>
            <w:szCs w:val="28"/>
            <w:lang w:val="vi-VN"/>
          </w:rPr>
          <w:t>https://www.newyorkfed.org/markets/reference-rates/effr</w:t>
        </w:r>
      </w:hyperlink>
      <w:r w:rsidR="007A03A4" w:rsidRPr="00443FA4">
        <w:rPr>
          <w:rFonts w:ascii="Times New Roman" w:hAnsi="Times New Roman" w:cs="Times New Roman"/>
          <w:sz w:val="28"/>
          <w:szCs w:val="28"/>
          <w:lang w:val="vi-VN"/>
        </w:rPr>
        <w:t xml:space="preserve"> </w:t>
      </w:r>
    </w:p>
    <w:p w14:paraId="47F3983D" w14:textId="31D80BF3"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4" w:history="1">
        <w:r w:rsidR="007A03A4" w:rsidRPr="00443FA4">
          <w:rPr>
            <w:rStyle w:val="Hyperlink"/>
            <w:rFonts w:ascii="Times New Roman" w:hAnsi="Times New Roman" w:cs="Times New Roman"/>
            <w:sz w:val="28"/>
            <w:szCs w:val="28"/>
            <w:lang w:val="vi-VN"/>
          </w:rPr>
          <w:t>https://home.treasury.gov/resource-center/data-chart-center/interest-rates/TextView?type=daily_treasury_yield_curve&amp;field_tdr_date_value_month=202408</w:t>
        </w:r>
      </w:hyperlink>
      <w:r w:rsidR="007A03A4" w:rsidRPr="00443FA4">
        <w:rPr>
          <w:rFonts w:ascii="Times New Roman" w:hAnsi="Times New Roman" w:cs="Times New Roman"/>
          <w:sz w:val="28"/>
          <w:szCs w:val="28"/>
          <w:lang w:val="vi-VN"/>
        </w:rPr>
        <w:t xml:space="preserve"> </w:t>
      </w:r>
    </w:p>
    <w:p w14:paraId="67242F2E" w14:textId="5963E87C"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5" w:history="1">
        <w:r w:rsidR="007A03A4" w:rsidRPr="00443FA4">
          <w:rPr>
            <w:rStyle w:val="Hyperlink"/>
            <w:rFonts w:ascii="Times New Roman" w:hAnsi="Times New Roman" w:cs="Times New Roman"/>
            <w:sz w:val="28"/>
            <w:szCs w:val="28"/>
            <w:lang w:val="vi-VN"/>
          </w:rPr>
          <w:t>https://home.treasury.gov/resource-center/data-chart-center/interest-rates/TextView?type=daily_treasury_yield_curve&amp;field_tdr_date_value_month=202408</w:t>
        </w:r>
      </w:hyperlink>
      <w:r w:rsidR="007A03A4" w:rsidRPr="00443FA4">
        <w:rPr>
          <w:rFonts w:ascii="Times New Roman" w:hAnsi="Times New Roman" w:cs="Times New Roman"/>
          <w:sz w:val="28"/>
          <w:szCs w:val="28"/>
          <w:lang w:val="vi-VN"/>
        </w:rPr>
        <w:t xml:space="preserve"> </w:t>
      </w:r>
    </w:p>
    <w:p w14:paraId="7232DB70" w14:textId="3FA4A1B3"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6" w:history="1">
        <w:r w:rsidR="007A03A4" w:rsidRPr="00443FA4">
          <w:rPr>
            <w:rStyle w:val="Hyperlink"/>
            <w:rFonts w:ascii="Times New Roman" w:hAnsi="Times New Roman" w:cs="Times New Roman"/>
            <w:sz w:val="28"/>
            <w:szCs w:val="28"/>
            <w:lang w:val="vi-VN"/>
          </w:rPr>
          <w:t>https://www.investing.com/indices/usdollar-historical-data</w:t>
        </w:r>
      </w:hyperlink>
      <w:r w:rsidR="007A03A4" w:rsidRPr="00443FA4">
        <w:rPr>
          <w:rFonts w:ascii="Times New Roman" w:hAnsi="Times New Roman" w:cs="Times New Roman"/>
          <w:sz w:val="28"/>
          <w:szCs w:val="28"/>
          <w:lang w:val="vi-VN"/>
        </w:rPr>
        <w:t xml:space="preserve"> </w:t>
      </w:r>
    </w:p>
    <w:p w14:paraId="24194ED3" w14:textId="02D1084C"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7" w:history="1">
        <w:r w:rsidR="007A03A4" w:rsidRPr="00443FA4">
          <w:rPr>
            <w:rStyle w:val="Hyperlink"/>
            <w:rFonts w:ascii="Times New Roman" w:hAnsi="Times New Roman" w:cs="Times New Roman"/>
            <w:sz w:val="28"/>
            <w:szCs w:val="28"/>
            <w:lang w:val="vi-VN"/>
          </w:rPr>
          <w:t>https://www.nasdaq.com/market-activity/index/spx/historical?page=1&amp;rows_per_page=10&amp;timeline=y5</w:t>
        </w:r>
      </w:hyperlink>
      <w:r w:rsidR="007A03A4" w:rsidRPr="00443FA4">
        <w:rPr>
          <w:rFonts w:ascii="Times New Roman" w:hAnsi="Times New Roman" w:cs="Times New Roman"/>
          <w:sz w:val="28"/>
          <w:szCs w:val="28"/>
          <w:lang w:val="vi-VN"/>
        </w:rPr>
        <w:t xml:space="preserve"> </w:t>
      </w:r>
    </w:p>
    <w:p w14:paraId="79F1C74C" w14:textId="28C0FF20"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8" w:history="1">
        <w:r w:rsidR="007A03A4" w:rsidRPr="00443FA4">
          <w:rPr>
            <w:rStyle w:val="Hyperlink"/>
            <w:rFonts w:ascii="Times New Roman" w:hAnsi="Times New Roman" w:cs="Times New Roman"/>
            <w:sz w:val="28"/>
            <w:szCs w:val="28"/>
            <w:lang w:val="vi-VN"/>
          </w:rPr>
          <w:t>https://finance.yahoo.com/quote/%5EVIX/history/?period1=1640995200&amp;period2=1723573736</w:t>
        </w:r>
      </w:hyperlink>
      <w:r w:rsidR="007A03A4" w:rsidRPr="00443FA4">
        <w:rPr>
          <w:rFonts w:ascii="Times New Roman" w:hAnsi="Times New Roman" w:cs="Times New Roman"/>
          <w:sz w:val="28"/>
          <w:szCs w:val="28"/>
          <w:lang w:val="vi-VN"/>
        </w:rPr>
        <w:t xml:space="preserve"> </w:t>
      </w:r>
    </w:p>
    <w:p w14:paraId="22C4B638" w14:textId="220E9390" w:rsidR="007A03A4" w:rsidRPr="00443FA4" w:rsidRDefault="00210FB9" w:rsidP="002A6DD5">
      <w:pPr>
        <w:pStyle w:val="ListParagraph"/>
        <w:spacing w:line="276" w:lineRule="auto"/>
        <w:ind w:left="1080"/>
        <w:jc w:val="both"/>
        <w:rPr>
          <w:rFonts w:ascii="Times New Roman" w:hAnsi="Times New Roman" w:cs="Times New Roman"/>
          <w:sz w:val="28"/>
          <w:szCs w:val="28"/>
          <w:lang w:val="vi-VN"/>
        </w:rPr>
      </w:pPr>
      <w:hyperlink r:id="rId19" w:history="1">
        <w:r w:rsidR="007A03A4" w:rsidRPr="00443FA4">
          <w:rPr>
            <w:rStyle w:val="Hyperlink"/>
            <w:rFonts w:ascii="Times New Roman" w:hAnsi="Times New Roman" w:cs="Times New Roman"/>
            <w:sz w:val="28"/>
            <w:szCs w:val="28"/>
            <w:lang w:val="vi-VN"/>
          </w:rPr>
          <w:t>https://finance.yahoo.com/quote/CL%3DF/history/?period1=1640995200&amp;period2=1723573988</w:t>
        </w:r>
      </w:hyperlink>
      <w:r w:rsidR="007A03A4" w:rsidRPr="00443FA4">
        <w:rPr>
          <w:rFonts w:ascii="Times New Roman" w:hAnsi="Times New Roman" w:cs="Times New Roman"/>
          <w:sz w:val="28"/>
          <w:szCs w:val="28"/>
          <w:lang w:val="vi-VN"/>
        </w:rPr>
        <w:t xml:space="preserve"> </w:t>
      </w:r>
    </w:p>
    <w:p w14:paraId="0D30A13A" w14:textId="77777777" w:rsidR="007A03A4" w:rsidRPr="00443FA4" w:rsidRDefault="007A03A4" w:rsidP="002A6DD5">
      <w:pPr>
        <w:pStyle w:val="ListParagraph"/>
        <w:spacing w:line="276" w:lineRule="auto"/>
        <w:ind w:left="1080"/>
        <w:jc w:val="both"/>
        <w:rPr>
          <w:rFonts w:ascii="Times New Roman" w:hAnsi="Times New Roman" w:cs="Times New Roman"/>
          <w:b/>
          <w:bCs/>
          <w:sz w:val="28"/>
          <w:szCs w:val="28"/>
          <w:lang w:val="vi-VN"/>
        </w:rPr>
      </w:pPr>
    </w:p>
    <w:sectPr w:rsidR="007A03A4" w:rsidRPr="00443FA4" w:rsidSect="00443FA4">
      <w:type w:val="continuous"/>
      <w:pgSz w:w="11909" w:h="16834" w:code="9"/>
      <w:pgMar w:top="1134" w:right="1134"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864"/>
    <w:multiLevelType w:val="hybridMultilevel"/>
    <w:tmpl w:val="75D4D14C"/>
    <w:lvl w:ilvl="0" w:tplc="D88E7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C360E"/>
    <w:multiLevelType w:val="hybridMultilevel"/>
    <w:tmpl w:val="8C44A80E"/>
    <w:lvl w:ilvl="0" w:tplc="87F09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17045"/>
    <w:multiLevelType w:val="hybridMultilevel"/>
    <w:tmpl w:val="979E1B06"/>
    <w:lvl w:ilvl="0" w:tplc="A158240E">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6DD4BDA"/>
    <w:multiLevelType w:val="hybridMultilevel"/>
    <w:tmpl w:val="6CA220BA"/>
    <w:lvl w:ilvl="0" w:tplc="A158240E">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8EB2FD2"/>
    <w:multiLevelType w:val="hybridMultilevel"/>
    <w:tmpl w:val="DF3A6C96"/>
    <w:lvl w:ilvl="0" w:tplc="3042C8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3664"/>
    <w:multiLevelType w:val="hybridMultilevel"/>
    <w:tmpl w:val="3014D404"/>
    <w:lvl w:ilvl="0" w:tplc="2BE0B20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216D"/>
    <w:multiLevelType w:val="hybridMultilevel"/>
    <w:tmpl w:val="09CAE7C0"/>
    <w:lvl w:ilvl="0" w:tplc="653E8A72">
      <w:start w:val="1"/>
      <w:numFmt w:val="upperRoman"/>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69C"/>
    <w:multiLevelType w:val="hybridMultilevel"/>
    <w:tmpl w:val="FA4019D8"/>
    <w:lvl w:ilvl="0" w:tplc="4C525D9C">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C92AB2"/>
    <w:multiLevelType w:val="hybridMultilevel"/>
    <w:tmpl w:val="D76E48B6"/>
    <w:lvl w:ilvl="0" w:tplc="45B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7B7690"/>
    <w:multiLevelType w:val="hybridMultilevel"/>
    <w:tmpl w:val="B8C8519E"/>
    <w:lvl w:ilvl="0" w:tplc="A158240E">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E19A6"/>
    <w:multiLevelType w:val="hybridMultilevel"/>
    <w:tmpl w:val="6DA49F0A"/>
    <w:lvl w:ilvl="0" w:tplc="4C525D9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347F1B"/>
    <w:multiLevelType w:val="hybridMultilevel"/>
    <w:tmpl w:val="1806EE1E"/>
    <w:lvl w:ilvl="0" w:tplc="A15824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374D0"/>
    <w:multiLevelType w:val="hybridMultilevel"/>
    <w:tmpl w:val="4D2AD50A"/>
    <w:lvl w:ilvl="0" w:tplc="A158240E">
      <w:start w:val="1"/>
      <w:numFmt w:val="bullet"/>
      <w:lvlText w:val=""/>
      <w:lvlJc w:val="left"/>
      <w:pPr>
        <w:ind w:left="117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 w15:restartNumberingAfterBreak="0">
    <w:nsid w:val="705118E9"/>
    <w:multiLevelType w:val="hybridMultilevel"/>
    <w:tmpl w:val="731ED61C"/>
    <w:lvl w:ilvl="0" w:tplc="4C525D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0"/>
  </w:num>
  <w:num w:numId="7">
    <w:abstractNumId w:val="11"/>
  </w:num>
  <w:num w:numId="8">
    <w:abstractNumId w:val="9"/>
  </w:num>
  <w:num w:numId="9">
    <w:abstractNumId w:val="10"/>
  </w:num>
  <w:num w:numId="10">
    <w:abstractNumId w:val="2"/>
  </w:num>
  <w:num w:numId="11">
    <w:abstractNumId w:val="13"/>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99"/>
    <w:rsid w:val="001C5249"/>
    <w:rsid w:val="001D1E7A"/>
    <w:rsid w:val="00210FB9"/>
    <w:rsid w:val="002A6DD5"/>
    <w:rsid w:val="0032031F"/>
    <w:rsid w:val="00443FA4"/>
    <w:rsid w:val="004C558F"/>
    <w:rsid w:val="007A03A4"/>
    <w:rsid w:val="008E7428"/>
    <w:rsid w:val="00BA0799"/>
    <w:rsid w:val="00DE6B22"/>
    <w:rsid w:val="00E06C0F"/>
    <w:rsid w:val="00E23804"/>
    <w:rsid w:val="00F50C21"/>
    <w:rsid w:val="00FD212F"/>
    <w:rsid w:val="00FE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624A"/>
  <w15:chartTrackingRefBased/>
  <w15:docId w15:val="{77C1A7DA-75A8-4FD4-85EC-EACAE6A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799"/>
    <w:rPr>
      <w:rFonts w:eastAsiaTheme="majorEastAsia" w:cstheme="majorBidi"/>
      <w:color w:val="272727" w:themeColor="text1" w:themeTint="D8"/>
    </w:rPr>
  </w:style>
  <w:style w:type="paragraph" w:styleId="Title">
    <w:name w:val="Title"/>
    <w:basedOn w:val="Normal"/>
    <w:next w:val="Normal"/>
    <w:link w:val="TitleChar"/>
    <w:uiPriority w:val="10"/>
    <w:qFormat/>
    <w:rsid w:val="00BA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799"/>
    <w:pPr>
      <w:spacing w:before="160"/>
      <w:jc w:val="center"/>
    </w:pPr>
    <w:rPr>
      <w:i/>
      <w:iCs/>
      <w:color w:val="404040" w:themeColor="text1" w:themeTint="BF"/>
    </w:rPr>
  </w:style>
  <w:style w:type="character" w:customStyle="1" w:styleId="QuoteChar">
    <w:name w:val="Quote Char"/>
    <w:basedOn w:val="DefaultParagraphFont"/>
    <w:link w:val="Quote"/>
    <w:uiPriority w:val="29"/>
    <w:rsid w:val="00BA0799"/>
    <w:rPr>
      <w:i/>
      <w:iCs/>
      <w:color w:val="404040" w:themeColor="text1" w:themeTint="BF"/>
    </w:rPr>
  </w:style>
  <w:style w:type="paragraph" w:styleId="ListParagraph">
    <w:name w:val="List Paragraph"/>
    <w:basedOn w:val="Normal"/>
    <w:uiPriority w:val="34"/>
    <w:qFormat/>
    <w:rsid w:val="00BA0799"/>
    <w:pPr>
      <w:ind w:left="720"/>
      <w:contextualSpacing/>
    </w:pPr>
  </w:style>
  <w:style w:type="character" w:styleId="IntenseEmphasis">
    <w:name w:val="Intense Emphasis"/>
    <w:basedOn w:val="DefaultParagraphFont"/>
    <w:uiPriority w:val="21"/>
    <w:qFormat/>
    <w:rsid w:val="00BA0799"/>
    <w:rPr>
      <w:i/>
      <w:iCs/>
      <w:color w:val="0F4761" w:themeColor="accent1" w:themeShade="BF"/>
    </w:rPr>
  </w:style>
  <w:style w:type="paragraph" w:styleId="IntenseQuote">
    <w:name w:val="Intense Quote"/>
    <w:basedOn w:val="Normal"/>
    <w:next w:val="Normal"/>
    <w:link w:val="IntenseQuoteChar"/>
    <w:uiPriority w:val="30"/>
    <w:qFormat/>
    <w:rsid w:val="00BA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799"/>
    <w:rPr>
      <w:i/>
      <w:iCs/>
      <w:color w:val="0F4761" w:themeColor="accent1" w:themeShade="BF"/>
    </w:rPr>
  </w:style>
  <w:style w:type="character" w:styleId="IntenseReference">
    <w:name w:val="Intense Reference"/>
    <w:basedOn w:val="DefaultParagraphFont"/>
    <w:uiPriority w:val="32"/>
    <w:qFormat/>
    <w:rsid w:val="00BA0799"/>
    <w:rPr>
      <w:b/>
      <w:bCs/>
      <w:smallCaps/>
      <w:color w:val="0F4761" w:themeColor="accent1" w:themeShade="BF"/>
      <w:spacing w:val="5"/>
    </w:rPr>
  </w:style>
  <w:style w:type="character" w:styleId="Hyperlink">
    <w:name w:val="Hyperlink"/>
    <w:basedOn w:val="DefaultParagraphFont"/>
    <w:uiPriority w:val="99"/>
    <w:unhideWhenUsed/>
    <w:rsid w:val="00BA0799"/>
    <w:rPr>
      <w:color w:val="467886" w:themeColor="hyperlink"/>
      <w:u w:val="single"/>
    </w:rPr>
  </w:style>
  <w:style w:type="character" w:customStyle="1" w:styleId="UnresolvedMention">
    <w:name w:val="Unresolved Mention"/>
    <w:basedOn w:val="DefaultParagraphFont"/>
    <w:uiPriority w:val="99"/>
    <w:semiHidden/>
    <w:unhideWhenUsed/>
    <w:rsid w:val="00BA0799"/>
    <w:rPr>
      <w:color w:val="605E5C"/>
      <w:shd w:val="clear" w:color="auto" w:fill="E1DFDD"/>
    </w:rPr>
  </w:style>
  <w:style w:type="character" w:styleId="FollowedHyperlink">
    <w:name w:val="FollowedHyperlink"/>
    <w:basedOn w:val="DefaultParagraphFont"/>
    <w:uiPriority w:val="99"/>
    <w:semiHidden/>
    <w:unhideWhenUsed/>
    <w:rsid w:val="00BA07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5697">
      <w:bodyDiv w:val="1"/>
      <w:marLeft w:val="0"/>
      <w:marRight w:val="0"/>
      <w:marTop w:val="0"/>
      <w:marBottom w:val="0"/>
      <w:divBdr>
        <w:top w:val="none" w:sz="0" w:space="0" w:color="auto"/>
        <w:left w:val="none" w:sz="0" w:space="0" w:color="auto"/>
        <w:bottom w:val="none" w:sz="0" w:space="0" w:color="auto"/>
        <w:right w:val="none" w:sz="0" w:space="0" w:color="auto"/>
      </w:divBdr>
    </w:div>
    <w:div w:id="505754650">
      <w:bodyDiv w:val="1"/>
      <w:marLeft w:val="0"/>
      <w:marRight w:val="0"/>
      <w:marTop w:val="0"/>
      <w:marBottom w:val="0"/>
      <w:divBdr>
        <w:top w:val="none" w:sz="0" w:space="0" w:color="auto"/>
        <w:left w:val="none" w:sz="0" w:space="0" w:color="auto"/>
        <w:bottom w:val="none" w:sz="0" w:space="0" w:color="auto"/>
        <w:right w:val="none" w:sz="0" w:space="0" w:color="auto"/>
      </w:divBdr>
    </w:div>
    <w:div w:id="745804997">
      <w:bodyDiv w:val="1"/>
      <w:marLeft w:val="0"/>
      <w:marRight w:val="0"/>
      <w:marTop w:val="0"/>
      <w:marBottom w:val="0"/>
      <w:divBdr>
        <w:top w:val="none" w:sz="0" w:space="0" w:color="auto"/>
        <w:left w:val="none" w:sz="0" w:space="0" w:color="auto"/>
        <w:bottom w:val="none" w:sz="0" w:space="0" w:color="auto"/>
        <w:right w:val="none" w:sz="0" w:space="0" w:color="auto"/>
      </w:divBdr>
    </w:div>
    <w:div w:id="773938271">
      <w:bodyDiv w:val="1"/>
      <w:marLeft w:val="0"/>
      <w:marRight w:val="0"/>
      <w:marTop w:val="0"/>
      <w:marBottom w:val="0"/>
      <w:divBdr>
        <w:top w:val="none" w:sz="0" w:space="0" w:color="auto"/>
        <w:left w:val="none" w:sz="0" w:space="0" w:color="auto"/>
        <w:bottom w:val="none" w:sz="0" w:space="0" w:color="auto"/>
        <w:right w:val="none" w:sz="0" w:space="0" w:color="auto"/>
      </w:divBdr>
    </w:div>
    <w:div w:id="783843164">
      <w:bodyDiv w:val="1"/>
      <w:marLeft w:val="0"/>
      <w:marRight w:val="0"/>
      <w:marTop w:val="0"/>
      <w:marBottom w:val="0"/>
      <w:divBdr>
        <w:top w:val="none" w:sz="0" w:space="0" w:color="auto"/>
        <w:left w:val="none" w:sz="0" w:space="0" w:color="auto"/>
        <w:bottom w:val="none" w:sz="0" w:space="0" w:color="auto"/>
        <w:right w:val="none" w:sz="0" w:space="0" w:color="auto"/>
      </w:divBdr>
    </w:div>
    <w:div w:id="1257901020">
      <w:bodyDiv w:val="1"/>
      <w:marLeft w:val="0"/>
      <w:marRight w:val="0"/>
      <w:marTop w:val="0"/>
      <w:marBottom w:val="0"/>
      <w:divBdr>
        <w:top w:val="none" w:sz="0" w:space="0" w:color="auto"/>
        <w:left w:val="none" w:sz="0" w:space="0" w:color="auto"/>
        <w:bottom w:val="none" w:sz="0" w:space="0" w:color="auto"/>
        <w:right w:val="none" w:sz="0" w:space="0" w:color="auto"/>
      </w:divBdr>
    </w:div>
    <w:div w:id="1710837119">
      <w:bodyDiv w:val="1"/>
      <w:marLeft w:val="0"/>
      <w:marRight w:val="0"/>
      <w:marTop w:val="0"/>
      <w:marBottom w:val="0"/>
      <w:divBdr>
        <w:top w:val="none" w:sz="0" w:space="0" w:color="auto"/>
        <w:left w:val="none" w:sz="0" w:space="0" w:color="auto"/>
        <w:bottom w:val="none" w:sz="0" w:space="0" w:color="auto"/>
        <w:right w:val="none" w:sz="0" w:space="0" w:color="auto"/>
      </w:divBdr>
    </w:div>
    <w:div w:id="17692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https://www.newyorkfed.org/markets/reference-rates/effr" TargetMode="External"/><Relationship Id="rId18" Type="http://schemas.openxmlformats.org/officeDocument/2006/relationships/hyperlink" Target="https://finance.yahoo.com/quote/%5EVIX/history/?period1=1640995200&amp;period2=17235737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newyorkfed.org/markets/reference-rates/effr" TargetMode="External"/><Relationship Id="rId17" Type="http://schemas.openxmlformats.org/officeDocument/2006/relationships/hyperlink" Target="https://www.nasdaq.com/market-activity/index/spx/historical?page=1&amp;rows_per_page=10&amp;timeline=y5" TargetMode="External"/><Relationship Id="rId2" Type="http://schemas.openxmlformats.org/officeDocument/2006/relationships/numbering" Target="numbering.xml"/><Relationship Id="rId16" Type="http://schemas.openxmlformats.org/officeDocument/2006/relationships/hyperlink" Target="https://www.investing.com/indices/usdollar-historical-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sinflationcalculator.com/inflation/historical-inflation-rates/" TargetMode="External"/><Relationship Id="rId5" Type="http://schemas.openxmlformats.org/officeDocument/2006/relationships/webSettings" Target="webSettings.xml"/><Relationship Id="rId15" Type="http://schemas.openxmlformats.org/officeDocument/2006/relationships/hyperlink" Target="https://home.treasury.gov/resource-center/data-chart-center/interest-rates/TextView?type=daily_treasury_yield_curve&amp;field_tdr_date_value_month=202408" TargetMode="External"/><Relationship Id="rId10" Type="http://schemas.openxmlformats.org/officeDocument/2006/relationships/hyperlink" Target="https://www.usagold.com/daily-gold-price-history/" TargetMode="External"/><Relationship Id="rId19" Type="http://schemas.openxmlformats.org/officeDocument/2006/relationships/hyperlink" Target="https://finance.yahoo.com/quote/CL%3DF/history/?period1=1640995200&amp;period2=1723573988" TargetMode="External"/><Relationship Id="rId4" Type="http://schemas.openxmlformats.org/officeDocument/2006/relationships/settings" Target="settings.xml"/><Relationship Id="rId9" Type="http://schemas.openxmlformats.org/officeDocument/2006/relationships/hyperlink" Target="https://www.kaggle.com/datasets/cvergnolle/gold-price-and-relevant-metrics/data" TargetMode="External"/><Relationship Id="rId14" Type="http://schemas.openxmlformats.org/officeDocument/2006/relationships/hyperlink" Target="https://home.treasury.gov/resource-center/data-chart-center/interest-rates/TextView?type=daily_treasury_yield_curve&amp;field_tdr_date_value_month=202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0F307-81DE-4D12-82B0-6C1375EB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Cảnh Trương</dc:creator>
  <cp:keywords/>
  <dc:description/>
  <cp:lastModifiedBy>Nguyen vu</cp:lastModifiedBy>
  <cp:revision>2</cp:revision>
  <dcterms:created xsi:type="dcterms:W3CDTF">2024-10-29T14:02:00Z</dcterms:created>
  <dcterms:modified xsi:type="dcterms:W3CDTF">2024-10-29T14:02:00Z</dcterms:modified>
</cp:coreProperties>
</file>