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Dashboard Crypto Tail Risk</w:t>
      </w:r>
    </w:p>
    <w:p>
      <w:pPr>
        <w:spacing w:after="200"/>
      </w:pPr>
      <w:r>
        <w:rPr>
          <w:rFonts w:ascii="Arial" w:hAnsi="Arial"/>
          <w:color w:val="3E5370"/>
          <w:sz w:val="24"/>
        </w:rPr>
        <w:t>Mở dashboard · đọc dự báo · trình bày rủi ro</w:t>
      </w:r>
    </w:p>
    <w:p>
      <w:r>
        <w:t>Tài liệu này dành cho người chạy dashboard và giới thiệu kết quả trên laptop/PC. Dashboard theo dõi Bitcoin và Ethereum bằng dữ liệu Binance Spot. Các chỉ số là ước lượng thống kê từ dữ liệu và mô hình, không phải lời hứa về giá hay khoản lỗ.</w:t>
      </w:r>
    </w:p>
    <w:p>
      <w:pPr>
        <w:pStyle w:val="Heading1"/>
      </w:pPr>
      <w:r>
        <w:t>1. Mở dashboard</w:t>
      </w:r>
    </w:p>
    <w:p>
      <w:r>
        <w:t>Cần kết nối Internet. Mở hai terminal tại thư mục gốc dự án và để cả hai hoạt động trong lúc thuyết trình.</w:t>
      </w:r>
    </w:p>
    <w:p>
      <w:pPr>
        <w:pStyle w:val="Heading2"/>
      </w:pPr>
      <w:r>
        <w:t>Terminal 1 · chạy API và dịch vụ dữ liệu</w:t>
      </w:r>
    </w:p>
    <w:p>
      <w:pPr>
        <w:keepLines/>
        <w:spacing w:before="40" w:after="140"/>
        <w:ind w:left="259"/>
      </w:pPr>
      <w:r>
        <w:rPr>
          <w:rFonts w:ascii="Consolas" w:hAnsi="Consolas" w:eastAsia="Consolas"/>
          <w:color w:val="1D3A5A"/>
          <w:sz w:val="19"/>
        </w:rPr>
        <w:t>&amp; .\.venv\Scripts\python.exe -m uvicorn app.main:app --app-dir backend --reload</w:t>
      </w:r>
    </w:p>
    <w:p>
      <w:r>
        <w:t>Chờ thông báo ứng dụng đã khởi động. API có thể kiểm tra tại http://127.0.0.1:8000/docs; trạng thái đồng bộ nằm ở http://127.0.0.1:8000/api/v1/sync-status.</w:t>
      </w:r>
    </w:p>
    <w:p>
      <w:pPr>
        <w:pStyle w:val="Heading2"/>
      </w:pPr>
      <w:r>
        <w:t>Terminal 2 · chạy giao diện</w:t>
      </w:r>
    </w:p>
    <w:p>
      <w:pPr>
        <w:keepLines/>
        <w:spacing w:before="40" w:after="140"/>
        <w:ind w:left="259"/>
      </w:pPr>
      <w:r>
        <w:rPr>
          <w:rFonts w:ascii="Consolas" w:hAnsi="Consolas" w:eastAsia="Consolas"/>
          <w:color w:val="1D3A5A"/>
          <w:sz w:val="19"/>
        </w:rPr>
        <w:t>cd frontend</w:t>
        <w:br/>
        <w:t>npm ci</w:t>
        <w:br/>
        <w:t>npm run dev</w:t>
      </w:r>
    </w:p>
    <w:p>
      <w:r>
        <w:t>Lệnh npm ci chỉ cần chạy khi cài frontend lần đầu hoặc khi các gói phụ thuộc thay đổi. Mở http://127.0.0.1:5173/ để vào dashboard. Nhấn Ctrl+C trong mỗi terminal để dừng dịch vụ.</w:t>
      </w:r>
    </w:p>
    <w:p>
      <w:pPr>
        <w:pStyle w:val="Heading2"/>
      </w:pPr>
      <w:r>
        <w:t>Dashboard cập nhật theo nhịp nào?</w:t>
      </w:r>
    </w:p>
    <w:p>
      <w:r>
        <w:t>Giá Binance trực tiếp được giao diện kiểm tra khoảng mỗi 5 giây. Backend đồng bộ nến theo chu kỳ 5 phút; forecast production cũng được làm mới mỗi 5 phút và có thể cần thêm thời gian tính toán. Dòng trạng thái kết nối và mốc “Forecast dùng dữ liệu đã hoàn tất đến…” giúp xác nhận dữ liệu đang dùng.</w:t>
      </w:r>
    </w:p>
    <w:p>
      <w:r>
        <w:t>Địa chỉ 127.0.0.1 chỉ mở được trên máy đang chạy dự án. Có thể trình chiếu dashboard bằng chính máy đó. Nếu người xem cần mở từ máy khác, backend và frontend phải được triển khai lên máy chủ có địa chỉ công khai.</w:t>
      </w:r>
    </w:p>
    <w:p>
      <w:pPr>
        <w:pStyle w:val="Heading2"/>
      </w:pPr>
      <w:r>
        <w:t>Nếu chưa thấy dữ liệu</w:t>
      </w:r>
    </w:p>
    <w:p>
      <w:pPr>
        <w:pStyle w:val="ListBullet"/>
        <w:spacing w:after="80" w:line="264" w:lineRule="auto"/>
      </w:pPr>
      <w:r>
        <w:t>API: kiểm tra terminal thứ nhất và http://127.0.0.1:8000/docs.</w:t>
      </w:r>
    </w:p>
    <w:p>
      <w:pPr>
        <w:pStyle w:val="ListBullet"/>
        <w:spacing w:after="80" w:line="264" w:lineRule="auto"/>
      </w:pPr>
      <w:r>
        <w:t>Frontend: kiểm tra terminal thứ hai và địa chỉ http://127.0.0.1:5173/.</w:t>
      </w:r>
    </w:p>
    <w:p>
      <w:pPr>
        <w:pStyle w:val="ListBullet"/>
        <w:spacing w:after="80" w:line="264" w:lineRule="auto"/>
      </w:pPr>
      <w:r>
        <w:t>Bảng lịch sử trống: kiểm tra pipeline nghiên cứu đã chạy và có kết quả T3/T7. Forecast production và backtest là hai nguồn riêng.</w:t>
      </w:r>
    </w:p>
    <w:p>
      <w:r>
        <w:br w:type="page"/>
      </w:r>
    </w:p>
    <w:p>
      <w:pPr>
        <w:pStyle w:val="Heading1"/>
      </w:pPr>
      <w:r>
        <w:t>2. Trình tự trình bày trên dashboard</w:t>
      </w:r>
    </w:p>
    <w:p>
      <w:pPr>
        <w:pStyle w:val="ListBullet"/>
        <w:spacing w:after="80" w:line="264" w:lineRule="auto"/>
      </w:pPr>
      <w:r>
        <w:t>Chọn Bitcoin hoặc Ethereum và kỳ hạn 1, 7 hoặc 30 ngày.</w:t>
      </w:r>
    </w:p>
    <w:p>
      <w:pPr>
        <w:pStyle w:val="ListBullet"/>
        <w:spacing w:after="80" w:line="264" w:lineRule="auto"/>
      </w:pPr>
      <w:r>
        <w:t>Đọc khoảng thời gian dự báo theo giờ Việt Nam và mốc dữ liệu đầu vào.</w:t>
      </w:r>
    </w:p>
    <w:p>
      <w:pPr>
        <w:pStyle w:val="ListBullet"/>
        <w:spacing w:after="80" w:line="264" w:lineRule="auto"/>
      </w:pPr>
      <w:r>
        <w:t>Nêu kết luận mức biến động rồi giải thích bốn chỉ số theo thứ tự trên màn hình.</w:t>
      </w:r>
    </w:p>
    <w:p>
      <w:pPr>
        <w:pStyle w:val="ListBullet"/>
        <w:spacing w:after="80" w:line="264" w:lineRule="auto"/>
      </w:pPr>
      <w:r>
        <w:t>Dùng biểu đồ, tần suất vượt VaR và QLIKE để kiểm tra cách mô hình hoạt động trên dữ liệu quá khứ.</w:t>
      </w:r>
    </w:p>
    <w:p>
      <w:pPr>
        <w:pStyle w:val="ListBullet"/>
        <w:spacing w:after="80" w:line="264" w:lineRule="auto"/>
      </w:pPr>
      <w:r>
        <w:t>Chỉ mở Chi tiết kỹ thuật khi cần; phần này phân biệt forecast production với kết quả nghiên cứu đã lưu.</w:t>
      </w:r>
    </w:p>
    <w:p>
      <w:pPr>
        <w:pStyle w:val="Heading1"/>
      </w:pPr>
      <w:r>
        <w:t>3. Bốn chỉ số bằng lời dễ hiểu</w:t>
      </w:r>
    </w:p>
    <w:p>
      <w:r>
        <w:t>Bảng dưới đây giúp giải thích ý nghĩa trước khi nêu tên chuyên môn.</w:t>
      </w:r>
    </w:p>
    <w:tbl>
      <w:tblPr>
        <w:tblW w:type="auto" w:w="0"/>
        <w:tblLayout w:type="fixed"/>
        <w:tblLook w:firstColumn="1" w:firstRow="1" w:lastColumn="0" w:lastRow="0" w:noHBand="0" w:noVBand="1" w:val="04A0"/>
        <w:tblBorders>
          <w:top w:val="single" w:sz="5" w:space="0" w:color="D9DDE3"/>
          <w:left w:val="single" w:sz="5" w:space="0" w:color="D9DDE3"/>
          <w:bottom w:val="single" w:sz="5" w:space="0" w:color="D9DDE3"/>
          <w:right w:val="single" w:sz="5" w:space="0" w:color="D9DDE3"/>
          <w:insideH w:val="single" w:sz="5" w:space="0" w:color="D9DDE3"/>
          <w:insideV w:val="single" w:sz="5" w:space="0" w:color="D9DDE3"/>
        </w:tblBorders>
      </w:tblPr>
      <w:tblGrid>
        <w:gridCol w:w="2088"/>
        <w:gridCol w:w="4320"/>
        <w:gridCol w:w="3528"/>
      </w:tblGrid>
      <w:tr>
        <w:trPr>
          <w:tblHeader w:val="true"/>
        </w:trPr>
        <w:tc>
          <w:tcPr>
            <w:tcW w:type="dxa" w:w="3331"/>
            <w:shd w:fill="DCE6F1"/>
            <w:vAlign w:val="center"/>
            <w:tcMar>
              <w:top w:w="110" w:type="dxa"/>
              <w:start w:w="115" w:type="dxa"/>
              <w:bottom w:w="110" w:type="dxa"/>
              <w:end w:w="115" w:type="dxa"/>
            </w:tcMar>
          </w:tcPr>
          <w:p>
            <w:pPr>
              <w:spacing w:after="0"/>
            </w:pPr>
            <w:r>
              <w:rPr>
                <w:rFonts w:ascii="Arial" w:hAnsi="Arial"/>
                <w:b/>
                <w:color w:val="14263C"/>
                <w:sz w:val="19"/>
              </w:rPr>
              <w:t>Chỉ số</w:t>
            </w:r>
          </w:p>
        </w:tc>
        <w:tc>
          <w:tcPr>
            <w:tcW w:type="dxa" w:w="3331"/>
            <w:shd w:fill="DCE6F1"/>
            <w:vAlign w:val="center"/>
            <w:tcMar>
              <w:top w:w="110" w:type="dxa"/>
              <w:start w:w="115" w:type="dxa"/>
              <w:bottom w:w="110" w:type="dxa"/>
              <w:end w:w="115" w:type="dxa"/>
            </w:tcMar>
          </w:tcPr>
          <w:p>
            <w:pPr>
              <w:spacing w:after="0"/>
            </w:pPr>
            <w:r>
              <w:rPr>
                <w:rFonts w:ascii="Arial" w:hAnsi="Arial"/>
                <w:b/>
                <w:color w:val="14263C"/>
                <w:sz w:val="19"/>
              </w:rPr>
              <w:t>Cách diễn giải</w:t>
            </w:r>
          </w:p>
        </w:tc>
        <w:tc>
          <w:tcPr>
            <w:tcW w:type="dxa" w:w="3331"/>
            <w:shd w:fill="DCE6F1"/>
            <w:vAlign w:val="center"/>
            <w:tcMar>
              <w:top w:w="110" w:type="dxa"/>
              <w:start w:w="115" w:type="dxa"/>
              <w:bottom w:w="110" w:type="dxa"/>
              <w:end w:w="115" w:type="dxa"/>
            </w:tcMar>
          </w:tcPr>
          <w:p>
            <w:pPr>
              <w:spacing w:after="0"/>
            </w:pPr>
            <w:r>
              <w:rPr>
                <w:rFonts w:ascii="Arial" w:hAnsi="Arial"/>
                <w:b/>
                <w:color w:val="14263C"/>
                <w:sz w:val="19"/>
              </w:rPr>
              <w:t>Điều cần nhớ</w:t>
            </w:r>
          </w:p>
        </w:tc>
      </w:tr>
      <w:tr>
        <w:tc>
          <w:tcPr>
            <w:tcW w:type="dxa" w:w="2088"/>
            <w:vAlign w:val="center"/>
            <w:tcMar>
              <w:top w:w="120" w:type="dxa"/>
              <w:start w:w="115" w:type="dxa"/>
              <w:bottom w:w="120" w:type="dxa"/>
              <w:end w:w="115" w:type="dxa"/>
            </w:tcMar>
          </w:tcPr>
          <w:p>
            <w:pPr>
              <w:spacing w:after="20" w:line="259" w:lineRule="auto"/>
            </w:pPr>
            <w:r>
              <w:rPr>
                <w:rFonts w:ascii="Arial" w:hAnsi="Arial"/>
                <w:b/>
                <w:color w:val="1E2B3B"/>
                <w:sz w:val="18"/>
              </w:rPr>
              <w:t>Dao động thường gặp</w:t>
              <w:br/>
              <w:t>Sigma</w:t>
            </w:r>
          </w:p>
        </w:tc>
        <w:tc>
          <w:tcPr>
            <w:tcW w:type="dxa" w:w="4320"/>
            <w:vAlign w:val="center"/>
            <w:tcMar>
              <w:top w:w="120" w:type="dxa"/>
              <w:start w:w="115" w:type="dxa"/>
              <w:bottom w:w="120" w:type="dxa"/>
              <w:end w:w="115" w:type="dxa"/>
            </w:tcMar>
          </w:tcPr>
          <w:p>
            <w:pPr>
              <w:spacing w:after="20" w:line="259" w:lineRule="auto"/>
            </w:pPr>
            <w:r>
              <w:rPr>
                <w:rFonts w:ascii="Arial" w:hAnsi="Arial"/>
                <w:sz w:val="18"/>
              </w:rPr>
              <w:t>Quy mô dao động ước tính lên hoặc xuống trong kỳ. Ví dụ ±2% nghĩa là mức tham chiếu khoảng 2% quanh giá trị hiện tại.</w:t>
            </w:r>
          </w:p>
        </w:tc>
        <w:tc>
          <w:tcPr>
            <w:tcW w:type="dxa" w:w="3528"/>
            <w:vAlign w:val="center"/>
            <w:tcMar>
              <w:top w:w="120" w:type="dxa"/>
              <w:start w:w="115" w:type="dxa"/>
              <w:bottom w:w="120" w:type="dxa"/>
              <w:end w:w="115" w:type="dxa"/>
            </w:tcMar>
          </w:tcPr>
          <w:p>
            <w:pPr>
              <w:spacing w:after="20" w:line="259" w:lineRule="auto"/>
            </w:pPr>
            <w:r>
              <w:rPr>
                <w:rFonts w:ascii="Arial" w:hAnsi="Arial"/>
                <w:sz w:val="18"/>
              </w:rPr>
              <w:t>Không phải dự báo lợi nhuận hay mức lỗ tối đa. Số tiền quy đổi trên màn hình áp dụng cho sigma.</w:t>
            </w:r>
          </w:p>
        </w:tc>
      </w:tr>
      <w:tr>
        <w:tc>
          <w:tcPr>
            <w:tcW w:type="dxa" w:w="2088"/>
            <w:vAlign w:val="center"/>
            <w:tcMar>
              <w:top w:w="120" w:type="dxa"/>
              <w:start w:w="115" w:type="dxa"/>
              <w:bottom w:w="120" w:type="dxa"/>
              <w:end w:w="115" w:type="dxa"/>
            </w:tcMar>
          </w:tcPr>
          <w:p>
            <w:pPr>
              <w:spacing w:after="20" w:line="259" w:lineRule="auto"/>
            </w:pPr>
            <w:r>
              <w:rPr>
                <w:rFonts w:ascii="Arial" w:hAnsi="Arial"/>
                <w:b/>
                <w:color w:val="1E2B3B"/>
                <w:sz w:val="18"/>
              </w:rPr>
              <w:t>Ngưỡng lỗ</w:t>
              <w:br/>
              <w:t>VaR</w:t>
            </w:r>
          </w:p>
        </w:tc>
        <w:tc>
          <w:tcPr>
            <w:tcW w:type="dxa" w:w="4320"/>
            <w:vAlign w:val="center"/>
            <w:tcMar>
              <w:top w:w="120" w:type="dxa"/>
              <w:start w:w="115" w:type="dxa"/>
              <w:bottom w:w="120" w:type="dxa"/>
              <w:end w:w="115" w:type="dxa"/>
            </w:tcMar>
          </w:tcPr>
          <w:p>
            <w:pPr>
              <w:spacing w:after="20" w:line="259" w:lineRule="auto"/>
            </w:pPr>
            <w:r>
              <w:rPr>
                <w:rFonts w:ascii="Arial" w:hAnsi="Arial"/>
                <w:sz w:val="18"/>
              </w:rPr>
              <w:t>Mức lỗ mà các kỳ tương tự thường không vượt qua, theo mức tin cậy đã chọn.</w:t>
            </w:r>
          </w:p>
        </w:tc>
        <w:tc>
          <w:tcPr>
            <w:tcW w:type="dxa" w:w="3528"/>
            <w:vAlign w:val="center"/>
            <w:tcMar>
              <w:top w:w="120" w:type="dxa"/>
              <w:start w:w="115" w:type="dxa"/>
              <w:bottom w:w="120" w:type="dxa"/>
              <w:end w:w="115" w:type="dxa"/>
            </w:tcMar>
          </w:tcPr>
          <w:p>
            <w:pPr>
              <w:spacing w:after="20" w:line="259" w:lineRule="auto"/>
            </w:pPr>
            <w:r>
              <w:rPr>
                <w:rFonts w:ascii="Arial" w:hAnsi="Arial"/>
                <w:sz w:val="18"/>
              </w:rPr>
              <w:t>VaR 95% có thể bị vượt khoảng 5 kỳ trên 100; VaR 99% khoảng 1 kỳ trên 100. Lỗ vẫn có thể lớn hơn.</w:t>
            </w:r>
          </w:p>
        </w:tc>
      </w:tr>
      <w:tr>
        <w:tc>
          <w:tcPr>
            <w:tcW w:type="dxa" w:w="2088"/>
            <w:vAlign w:val="center"/>
            <w:tcMar>
              <w:top w:w="120" w:type="dxa"/>
              <w:start w:w="115" w:type="dxa"/>
              <w:bottom w:w="120" w:type="dxa"/>
              <w:end w:w="115" w:type="dxa"/>
            </w:tcMar>
          </w:tcPr>
          <w:p>
            <w:pPr>
              <w:spacing w:after="20" w:line="259" w:lineRule="auto"/>
            </w:pPr>
            <w:r>
              <w:rPr>
                <w:rFonts w:ascii="Arial" w:hAnsi="Arial"/>
                <w:b/>
                <w:color w:val="1E2B3B"/>
                <w:sz w:val="18"/>
              </w:rPr>
              <w:t>Lỗ trung bình trong kỳ tệ</w:t>
              <w:br/>
              <w:t>ES</w:t>
            </w:r>
          </w:p>
        </w:tc>
        <w:tc>
          <w:tcPr>
            <w:tcW w:type="dxa" w:w="4320"/>
            <w:vAlign w:val="center"/>
            <w:tcMar>
              <w:top w:w="120" w:type="dxa"/>
              <w:start w:w="115" w:type="dxa"/>
              <w:bottom w:w="120" w:type="dxa"/>
              <w:end w:w="115" w:type="dxa"/>
            </w:tcMar>
          </w:tcPr>
          <w:p>
            <w:pPr>
              <w:spacing w:after="20" w:line="259" w:lineRule="auto"/>
            </w:pPr>
            <w:r>
              <w:rPr>
                <w:rFonts w:ascii="Arial" w:hAnsi="Arial"/>
                <w:sz w:val="18"/>
              </w:rPr>
              <w:t>Mức lỗ trung bình ước lượng trong nhóm kỳ xấu đã vượt ngưỡng VaR.</w:t>
            </w:r>
          </w:p>
        </w:tc>
        <w:tc>
          <w:tcPr>
            <w:tcW w:type="dxa" w:w="3528"/>
            <w:vAlign w:val="center"/>
            <w:tcMar>
              <w:top w:w="120" w:type="dxa"/>
              <w:start w:w="115" w:type="dxa"/>
              <w:bottom w:w="120" w:type="dxa"/>
              <w:end w:w="115" w:type="dxa"/>
            </w:tcMar>
          </w:tcPr>
          <w:p>
            <w:pPr>
              <w:spacing w:after="20" w:line="259" w:lineRule="auto"/>
            </w:pPr>
            <w:r>
              <w:rPr>
                <w:rFonts w:ascii="Arial" w:hAnsi="Arial"/>
                <w:sz w:val="18"/>
              </w:rPr>
              <w:t>Nhìn vào phần đuôi rủi ro sâu hơn VaR. Đây vẫn là ước lượng, không bảo đảm mức lỗ.</w:t>
            </w:r>
          </w:p>
        </w:tc>
      </w:tr>
      <w:tr>
        <w:tc>
          <w:tcPr>
            <w:tcW w:type="dxa" w:w="2088"/>
            <w:vAlign w:val="center"/>
            <w:tcMar>
              <w:top w:w="120" w:type="dxa"/>
              <w:start w:w="115" w:type="dxa"/>
              <w:bottom w:w="120" w:type="dxa"/>
              <w:end w:w="115" w:type="dxa"/>
            </w:tcMar>
          </w:tcPr>
          <w:p>
            <w:pPr>
              <w:spacing w:after="20" w:line="259" w:lineRule="auto"/>
            </w:pPr>
            <w:r>
              <w:rPr>
                <w:rFonts w:ascii="Arial" w:hAnsi="Arial"/>
                <w:b/>
                <w:color w:val="1E2B3B"/>
                <w:sz w:val="18"/>
              </w:rPr>
              <w:t>Điểm biến động gốc</w:t>
              <w:br/>
              <w:t>RV</w:t>
            </w:r>
          </w:p>
        </w:tc>
        <w:tc>
          <w:tcPr>
            <w:tcW w:type="dxa" w:w="4320"/>
            <w:vAlign w:val="center"/>
            <w:tcMar>
              <w:top w:w="120" w:type="dxa"/>
              <w:start w:w="115" w:type="dxa"/>
              <w:bottom w:w="120" w:type="dxa"/>
              <w:end w:w="115" w:type="dxa"/>
            </w:tcMar>
          </w:tcPr>
          <w:p>
            <w:pPr>
              <w:spacing w:after="20" w:line="259" w:lineRule="auto"/>
            </w:pPr>
            <w:r>
              <w:rPr>
                <w:rFonts w:ascii="Arial" w:hAnsi="Arial"/>
                <w:sz w:val="18"/>
              </w:rPr>
              <w:t>Giá trị phương sai mà mô hình dùng làm đầu vào để ước lượng biến động.</w:t>
            </w:r>
          </w:p>
        </w:tc>
        <w:tc>
          <w:tcPr>
            <w:tcW w:type="dxa" w:w="3528"/>
            <w:vAlign w:val="center"/>
            <w:tcMar>
              <w:top w:w="120" w:type="dxa"/>
              <w:start w:w="115" w:type="dxa"/>
              <w:bottom w:w="120" w:type="dxa"/>
              <w:end w:w="115" w:type="dxa"/>
            </w:tcMar>
          </w:tcPr>
          <w:p>
            <w:pPr>
              <w:spacing w:after="20" w:line="259" w:lineRule="auto"/>
            </w:pPr>
            <w:r>
              <w:rPr>
                <w:rFonts w:ascii="Arial" w:hAnsi="Arial"/>
                <w:sz w:val="18"/>
              </w:rPr>
              <w:t>Đơn vị là phần trăm bình phương; không đọc RV như phần trăm lợi suất hoặc tiền.</w:t>
            </w:r>
          </w:p>
        </w:tc>
      </w:tr>
    </w:tbl>
    <w:p/>
    <w:p>
      <w:pPr>
        <w:pStyle w:val="Heading2"/>
      </w:pPr>
      <w:r>
        <w:t>Mức tin cậy không phải xác suất mô hình đúng</w:t>
      </w:r>
    </w:p>
    <w:p>
      <w:r>
        <w:t>95% nghĩa là trong nhiều kỳ tương tự, tỷ lệ vượt ngưỡng VaR được kỳ vọng quanh 5%; 99% tương ứng quanh 1%. Đây là tỷ lệ dài hạn để đánh giá ngưỡng, không có nghĩa mỗi nhóm 100 kỳ sẽ có đúng số lần đó. Không diễn giải mức tin cậy thành cam kết tránh thua lỗ.</w:t>
      </w:r>
    </w:p>
    <w:p>
      <w:pPr>
        <w:pStyle w:val="Heading2"/>
      </w:pPr>
      <w:r>
        <w:t>Lời dẫn gợi ý</w:t>
      </w:r>
    </w:p>
    <w:p>
      <w:r>
        <w:t>“Màn hình này ước lượng mức biến động và rủi ro lỗ cho Bitcoin hoặc Ethereum trong khoảng thời gian ghi ở đây. Sigma mô tả mức dao động tham chiếu; VaR là ngưỡng lỗ có thể bị vượt; ES ước lượng mức lỗ trung bình trong nhóm kỳ tệ. Phần bên dưới cho thấy các ngưỡng đã hoạt động thế nào trong bài kiểm tra lịch sử. Đây là ước lượng từ dữ liệu, không phải cam kết kết quả.”</w:t>
      </w:r>
    </w:p>
    <w:p>
      <w:r>
        <w:br w:type="page"/>
      </w:r>
    </w:p>
    <w:p>
      <w:pPr>
        <w:pStyle w:val="Heading1"/>
      </w:pPr>
      <w:r>
        <w:t>4. Đọc biểu đồ và phần kiểm chứng</w:t>
      </w:r>
    </w:p>
    <w:p>
      <w:pPr>
        <w:pStyle w:val="Heading2"/>
      </w:pPr>
      <w:r>
        <w:t>Biểu đồ lợi suất và VaR</w:t>
      </w:r>
    </w:p>
    <w:p>
      <w:pPr>
        <w:pStyle w:val="ListBullet"/>
        <w:spacing w:after="80" w:line="264" w:lineRule="auto"/>
      </w:pPr>
      <w:r>
        <w:t>Cột phía trên đường 0 là ngày tăng; cột phía dưới là ngày giảm.</w:t>
      </w:r>
    </w:p>
    <w:p>
      <w:pPr>
        <w:pStyle w:val="ListBullet"/>
        <w:spacing w:after="80" w:line="264" w:lineRule="auto"/>
      </w:pPr>
      <w:r>
        <w:t>Đường đứt là ngưỡng VaR lịch sử ở mức tin cậy đang chọn.</w:t>
      </w:r>
    </w:p>
    <w:p>
      <w:pPr>
        <w:pStyle w:val="ListBullet"/>
        <w:spacing w:after="80" w:line="264" w:lineRule="auto"/>
      </w:pPr>
      <w:r>
        <w:t>Dấu × chỉ ngày lỗ thực tế vượt ngưỡng VaR.</w:t>
      </w:r>
    </w:p>
    <w:p>
      <w:r>
        <w:t>Biểu đồ dùng các dự báo ngoài mẫu lịch sử. Nó minh họa những gì đã xảy ra trong backtest, không phải giá hoặc kết quả thực tế của kỳ forecast hiện tại.</w:t>
      </w:r>
    </w:p>
    <w:p>
      <w:pPr>
        <w:pStyle w:val="Heading2"/>
      </w:pPr>
      <w:r>
        <w:t>Tần suất vượt VaR</w:t>
      </w:r>
    </w:p>
    <w:p>
      <w:r>
        <w:t>Tỷ lệ quan sát được trong bảng T7 được so với mốc tham chiếu 5% ở mức tin cậy 95% hoặc 1% ở mức 99%. Tỷ lệ gần mốc hơn thường cho thấy mức bao phủ phù hợp hơn trong mẫu kiểm tra. Cần đọc cùng số kỳ đã kiểm tra và các kiểm định khác; một tỷ lệ đơn lẻ không chứng minh mô hình luôn đúng.</w:t>
      </w:r>
    </w:p>
    <w:p>
      <w:pPr>
        <w:pStyle w:val="Heading2"/>
      </w:pPr>
      <w:r>
        <w:t>So sánh QLIKE</w:t>
      </w:r>
    </w:p>
    <w:p>
      <w:r>
        <w:t>QLIKE là điểm sai số dự báo biến động. Điểm thấp hơn nghĩa là dự báo RV sát dữ liệu thực tế hơn trong tập đánh giá. So sánh với HAR giúp đặt mô hình đang dùng cạnh một mốc truyền thống. T3 là kết quả walk-forward được lưu; không nên gọi đó là kiểm chứng trực tiếp cho mọi dự báo tương lai.</w:t>
      </w:r>
    </w:p>
    <w:p>
      <w:pPr>
        <w:pStyle w:val="Heading1"/>
      </w:pPr>
      <w:r>
        <w:t>5. Giới hạn cần nói rõ</w:t>
      </w:r>
    </w:p>
    <w:p>
      <w:pPr>
        <w:pStyle w:val="ListBullet"/>
        <w:spacing w:after="80" w:line="264" w:lineRule="auto"/>
      </w:pPr>
      <w:r>
        <w:t>VaR/ES của forecast production hiện dùng xấp xỉ phân phối chuẩn. Giả định này có thể đánh giá thấp các cú biến động cực đoan, nên dashboard chưa quy đổi VaR/ES production sang tiền. Hiện số tiền chỉ được quy đổi cho sigma.</w:t>
      </w:r>
    </w:p>
    <w:p>
      <w:pPr>
        <w:pStyle w:val="ListBullet"/>
        <w:spacing w:after="80" w:line="264" w:lineRule="auto"/>
      </w:pPr>
      <w:r>
        <w:t>T7 dùng FHS trong backtest nghiên cứu. FHS ở T7 khác phương pháp xấp xỉ chuẩn đang dùng cho VaR/ES production.</w:t>
      </w:r>
    </w:p>
    <w:p>
      <w:pPr>
        <w:pStyle w:val="ListBullet"/>
        <w:spacing w:after="80" w:line="264" w:lineRule="auto"/>
      </w:pPr>
      <w:r>
        <w:t>Forecast 30 ngày chỉ mang tính mô tả vì các cửa sổ chồng lấn làm giảm số quan sát độc lập.</w:t>
      </w:r>
    </w:p>
    <w:p>
      <w:pPr>
        <w:pStyle w:val="ListBullet"/>
        <w:spacing w:after="80" w:line="264" w:lineRule="auto"/>
      </w:pPr>
      <w:r>
        <w:t>Phân vị lịch sử cho biết forecast đứng ở đâu trong tập tham chiếu; đó không phải xác suất giá giảm.</w:t>
      </w:r>
    </w:p>
    <w:p>
      <w:pPr>
        <w:pStyle w:val="ListBullet"/>
        <w:spacing w:after="80" w:line="264" w:lineRule="auto"/>
      </w:pPr>
      <w:r>
        <w:t>Dashboard không phải lời khuyên mua bán. Biến động bất thường có thể vượt xa các ngưỡng ước lượng.</w:t>
      </w: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970"/>
        <w:sz w:val="16"/>
      </w:rPr>
      <w:t xml:space="preserve">Dashboard Crypto Tail Risk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7606C"/>
        <w:sz w:val="16"/>
      </w:rPr>
      <w:t>CRYPTO TAIL RISK  ·  HƯỚNG DẪN THUYẾT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6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Dashboard Crypto Tail Risk</dc:title>
  <dc:subject>Hướng dẫn chạy và trình bày dashboard forecast volatility và tail risk</dc:subject>
  <dc:creator>Crypto Finance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