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0f4c81"/>
          <w:sz w:val="30"/>
        </w:rPr>
        <w:t xml:space="preserve">BÀI TẬP THỰC HÀNH SESSION 12 - EX 04</w:t>
        <w:br/>
      </w:r>
      <w:r>
        <w:rPr>
          <w:b/>
          <w:color w:val="374151"/>
          <w:sz w:val="23"/>
        </w:rPr>
        <w:t xml:space="preserve">Đề tài: Triển khai Hệ thống Clinic-Cloud, Quản lý 1,000 hồ sơ bệnh nhân và Kiểm thử tài liệu SRS</w:t>
      </w:r>
      <w:r/>
    </w:p>
    <w:p>
      <w:pPr>
        <w:pStyle w:val="693"/>
        <w:pBdr/>
        <w:spacing/>
        <w:ind/>
        <w:rPr/>
      </w:pPr>
      <w:r>
        <w:rPr>
          <w:rFonts w:ascii="Arial" w:hAnsi="Arial"/>
          <w:color w:val="0f4c81"/>
          <w:sz w:val="26"/>
        </w:rPr>
        <w:t xml:space="preserve">PHẦN 2. TRIỂN KHAI: HỆ THỐNG CLINIC-CLOUD TÍCH HỢP (RÚT GỌN)</w:t>
      </w:r>
      <w:r/>
    </w:p>
    <w:p>
      <w:pPr>
        <w:pStyle w:val="694"/>
        <w:pBdr/>
        <w:spacing/>
        <w:ind/>
        <w:rPr/>
      </w:pPr>
      <w:r>
        <w:rPr>
          <w:rFonts w:ascii="Arial" w:hAnsi="Arial"/>
          <w:color w:val="1e3a8a"/>
          <w:sz w:val="23"/>
        </w:rPr>
        <w:t xml:space="preserve">2.1. Đặc tả SRS module 'Bệnh án điện tử' với 4 tiêu chuẩn bảo mật</w:t>
      </w:r>
      <w:r/>
    </w:p>
    <w:p>
      <w:pPr>
        <w:pStyle w:val="723"/>
        <w:pBdr/>
        <w:spacing w:after="80"/>
        <w:ind/>
        <w:rPr/>
      </w:pPr>
      <w:r>
        <w:rPr>
          <w:b/>
        </w:rPr>
        <w:t xml:space="preserve">Phân quyền truy cập (Access Control): </w:t>
      </w:r>
      <w:r>
        <w:t xml:space="preserve">Lễ tân chỉ được thao tác thông tin hành chính; Bác sĩ điều trị có quyền xem và cập nhật bệnh án chuyên môn.</w:t>
      </w:r>
      <w:r/>
    </w:p>
    <w:p>
      <w:pPr>
        <w:pStyle w:val="723"/>
        <w:pBdr/>
        <w:spacing w:after="80"/>
        <w:ind/>
        <w:rPr/>
      </w:pPr>
      <w:r>
        <w:rPr>
          <w:b/>
        </w:rPr>
        <w:t xml:space="preserve">Mã hóa dữ liệu (Data Encryption): </w:t>
      </w:r>
      <w:r>
        <w:t xml:space="preserve">Mã hóa hồ sơ bệnh lý trên đám mây Clinic-Cloud và ẩn một phần Số điện thoại (ví dụ: 0901-***-567).</w:t>
      </w:r>
      <w:r/>
    </w:p>
    <w:p>
      <w:pPr>
        <w:pStyle w:val="723"/>
        <w:pBdr/>
        <w:spacing w:after="80"/>
        <w:ind/>
        <w:rPr/>
      </w:pPr>
      <w:r>
        <w:rPr>
          <w:b/>
        </w:rPr>
        <w:t xml:space="preserve">Sao lưu định kỳ (Automated Backup): </w:t>
      </w:r>
      <w:r>
        <w:t xml:space="preserve">Hệ thống tự động sao lưu dự phòng lúc 23:00 hằng ngày để chống mất mát dữ liệu.</w:t>
      </w:r>
      <w:r/>
    </w:p>
    <w:p>
      <w:pPr>
        <w:pStyle w:val="723"/>
        <w:pBdr/>
        <w:spacing w:after="80"/>
        <w:ind/>
        <w:rPr/>
      </w:pPr>
      <w:r>
        <w:rPr>
          <w:b/>
        </w:rPr>
        <w:t xml:space="preserve">Theo dõi truy cập (Audit Log): </w:t>
      </w:r>
      <w:r>
        <w:t xml:space="preserve">Ghi vết toàn bộ lịch sử tài khoản và thời gian mở xem hoặc chỉnh sửa hồ sơ.</w:t>
      </w:r>
      <w:r/>
    </w:p>
    <w:p>
      <w:pPr>
        <w:pStyle w:val="694"/>
        <w:pBdr/>
        <w:spacing/>
        <w:ind/>
        <w:rPr/>
      </w:pPr>
      <w:r>
        <w:rPr>
          <w:rFonts w:ascii="Arial" w:hAnsi="Arial"/>
          <w:color w:val="1e3a8a"/>
          <w:sz w:val="23"/>
        </w:rPr>
        <w:t xml:space="preserve">2.2. Quản lý 1,000 hồ sơ Excel chuẩn Database Mindset &amp; Xử lý bẫy AutoFilter</w:t>
      </w:r>
      <w:r/>
    </w:p>
    <w:p>
      <w:pPr>
        <w:pStyle w:val="723"/>
        <w:pBdr/>
        <w:spacing w:after="80"/>
        <w:ind/>
        <w:rPr/>
      </w:pPr>
      <w:r>
        <w:rPr>
          <w:b/>
        </w:rPr>
        <w:t xml:space="preserve">Chuẩn Database Mindset: </w:t>
      </w:r>
      <w:r>
        <w:t xml:space="preserve">Bảng dữ liệu 1,000 bệnh nhân (Sheet DanhSachBenhNhan) dùng duy nhất 1 dòng tiêu đề, mỗi dòng là 1 bản ghi độc lập, tuyệt đối không gộp ô (No Merge Cells).</w:t>
      </w:r>
      <w:r/>
    </w:p>
    <w:p>
      <w:pPr>
        <w:pStyle w:val="723"/>
        <w:pBdr/>
        <w:spacing w:after="80"/>
        <w:ind/>
        <w:rPr/>
      </w:pPr>
      <w:r>
        <w:rPr>
          <w:b/>
        </w:rPr>
        <w:t xml:space="preserve">Cách xử lý bẫy hàng nghìn ô trống làm đứt quãng AutoFilter (3 bước):</w:t>
      </w:r>
      <w:r/>
    </w:p>
    <w:p>
      <w:pPr>
        <w:pBdr/>
        <w:spacing w:after="60"/>
        <w:ind w:left="576"/>
        <w:rPr/>
      </w:pPr>
      <w:r>
        <w:rPr>
          <w:b/>
        </w:rPr>
        <w:t xml:space="preserve">• Bước 1 (Khóa chính liền mạch): </w:t>
      </w:r>
      <w:r>
        <w:t xml:space="preserve">Điền kín 100% cột ID Hồ Sơ từ dòng 2 đến dòng 1001.</w:t>
      </w:r>
      <w:r/>
    </w:p>
    <w:p>
      <w:pPr>
        <w:pBdr/>
        <w:spacing w:after="60"/>
        <w:ind w:left="576"/>
        <w:rPr/>
      </w:pPr>
      <w:r>
        <w:rPr>
          <w:b/>
        </w:rPr>
        <w:t xml:space="preserve">• Bước 2 (Lấp nhanh ô trống trong 1 giây): </w:t>
      </w:r>
      <w:r>
        <w:t xml:space="preserve">Bôi đen vùng bảng A1:I1001 -&gt; Nhấn F5  -&gt; Special -&gt; Blanks -&gt; Nhập 'N/A và nhấn Ctrl + Enter.</w:t>
      </w:r>
      <w:r/>
    </w:p>
    <w:p>
      <w:pPr>
        <w:pBdr/>
        <w:spacing w:after="60"/>
        <w:ind w:left="576"/>
        <w:rPr/>
      </w:pPr>
      <w:r>
        <w:rPr>
          <w:b/>
        </w:rPr>
        <w:t xml:space="preserve">• Bước 3 (Khóa vùng lọc): </w:t>
      </w:r>
      <w:r>
        <w:t xml:space="preserve">Quét chọn đủ vùng A1:I1001 trước khi bật lọc Ctrl + Shift + L.</w:t>
      </w:r>
      <w:r/>
    </w:p>
    <w:p>
      <w:pPr>
        <w:pStyle w:val="694"/>
        <w:pBdr/>
        <w:spacing/>
        <w:ind/>
        <w:rPr/>
      </w:pPr>
      <w:r>
        <w:rPr>
          <w:rFonts w:ascii="Arial" w:hAnsi="Arial"/>
          <w:color w:val="1e3a8a"/>
          <w:sz w:val="23"/>
        </w:rPr>
        <w:t xml:space="preserve">2.3. Trình bày số liệu dịch bệnh bằng Donut Chart tối giản</w:t>
      </w:r>
      <w:r/>
    </w:p>
    <w:p>
      <w:pPr>
        <w:pBdr/>
        <w:spacing w:after="120"/>
        <w:ind/>
        <w:rPr/>
      </w:pPr>
      <w:r>
        <w:t xml:space="preserve">Sử dụng hàm =COUNTIF tại Sheet BaoCaoDichBenh</w:t>
      </w:r>
      <w:r>
        <w:t xml:space="preserve"> để tổng hợp tự động 1,000 ca bệnh và biểu diễn bằng biểu đồ Donut tối giản: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7760" cy="354038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nut_chart_session1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37760" cy="3540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8.80pt;height:278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9"/>
        </w:rPr>
        <w:t xml:space="preserve">Hình 1: Biểu đồ Donut Chart tối giản thống kê cơ cấu 4 nhóm dịch bệnh trên 1,000 hồ sơ bệnh nhân.</w:t>
      </w:r>
      <w:r/>
    </w:p>
    <w:p>
      <w:pPr>
        <w:pStyle w:val="693"/>
        <w:pBdr/>
        <w:spacing/>
        <w:ind/>
        <w:rPr/>
      </w:pPr>
      <w:r>
        <w:rPr>
          <w:rFonts w:ascii="Arial" w:hAnsi="Arial"/>
          <w:color w:val="0f4c81"/>
          <w:sz w:val="26"/>
        </w:rPr>
        <w:t xml:space="preserve">PHẦN 3. KIỂM THỬ: KHẮC PHỤC LỖI GÁN NHẦM HEADING STYLES BẰNG CTRL + SHIFT + N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>
        <w:trPr/>
        <w:tc>
          <w:tcPr>
            <w:shd w:val="clear" w:color="auto" w:fill="0f4c81"/>
            <w:tcBorders/>
            <w:tcW w:w="3216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1"/>
              </w:rPr>
              <w:t xml:space="preserve">Bước thực hiện</w:t>
            </w:r>
            <w:r/>
          </w:p>
        </w:tc>
        <w:tc>
          <w:tcPr>
            <w:shd w:val="clear" w:color="auto" w:fill="0f4c81"/>
            <w:tcBorders/>
            <w:tcW w:w="3216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1"/>
              </w:rPr>
              <w:t xml:space="preserve">Thao tác trên Microsoft Word</w:t>
            </w:r>
            <w:r/>
          </w:p>
        </w:tc>
        <w:tc>
          <w:tcPr>
            <w:shd w:val="clear" w:color="auto" w:fill="0f4c81"/>
            <w:tcBorders/>
            <w:tcW w:w="3216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1"/>
              </w:rPr>
              <w:t xml:space="preserve">Kết quả đạt được</w:t>
            </w:r>
            <w:r/>
          </w:p>
        </w:tc>
      </w:tr>
      <w:tr>
        <w:trPr/>
        <w:tc>
          <w:tcPr>
            <w:shd w:val="clear" w:color="auto" w:fill="ffff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Bước 1: Phát hiện lỗi</w:t>
            </w:r>
            <w:r/>
          </w:p>
        </w:tc>
        <w:tc>
          <w:tcPr>
            <w:shd w:val="clear" w:color="auto" w:fill="ffff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Mở Navigation Pane (Ctrl + F), nhấp vào đoạn văn dài bị lọt vào cây tiêu đề.</w:t>
            </w:r>
            <w:r/>
          </w:p>
        </w:tc>
        <w:tc>
          <w:tcPr>
            <w:shd w:val="clear" w:color="auto" w:fill="ffff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Con trỏ chuột nhảy đến đúng đoạn văn đang bị dính nhãn Heading.</w:t>
            </w:r>
            <w:r/>
          </w:p>
        </w:tc>
      </w:tr>
      <w:tr>
        <w:trPr/>
        <w:tc>
          <w:tcPr>
            <w:shd w:val="clear" w:color="auto" w:fill="f0f7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Bước 2: Chuẩn hóa nhanh</w:t>
            </w:r>
            <w:r/>
          </w:p>
        </w:tc>
        <w:tc>
          <w:tcPr>
            <w:shd w:val="clear" w:color="auto" w:fill="f0f7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Đặt con trỏ tại đoạn văn đó và nhấn tổ hợp phím Ctrl + Shift + N.</w:t>
            </w:r>
            <w:r/>
          </w:p>
        </w:tc>
        <w:tc>
          <w:tcPr>
            <w:shd w:val="clear" w:color="auto" w:fill="f0f7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Word gỡ bỏ nhãn Heading và trả đoạn văn về kiểu Normal chuẩn ngay lập tức.</w:t>
            </w:r>
            <w:r/>
          </w:p>
        </w:tc>
      </w:tr>
      <w:tr>
        <w:trPr/>
        <w:tc>
          <w:tcPr>
            <w:shd w:val="clear" w:color="auto" w:fill="ffff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Bước 3: Cập nhật Mục lục</w:t>
            </w:r>
            <w:r/>
          </w:p>
        </w:tc>
        <w:tc>
          <w:tcPr>
            <w:shd w:val="clear" w:color="auto" w:fill="ffff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Nhấp chuột phải vào Mục lục đầu bài -&gt; chọn Update Field -&gt; Update entire table.</w:t>
            </w:r>
            <w:r/>
          </w:p>
        </w:tc>
        <w:tc>
          <w:tcPr>
            <w:shd w:val="clear" w:color="auto" w:fill="ffffff"/>
            <w:tcBorders/>
            <w:tcW w:w="3216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Đoạn văn bị lỗi biến mất khỏi thanh điều hướng và Mục lục trở lại gọn gàng.</w:t>
            </w:r>
            <w:r/>
          </w:p>
        </w:tc>
      </w:tr>
    </w:tbl>
    <w:p>
      <w:pPr>
        <w:pBdr/>
        <w:spacing w:before="160"/>
        <w:ind/>
        <w:rPr/>
      </w:pPr>
      <w:r>
        <w:rPr>
          <w:b/>
        </w:rPr>
      </w:r>
      <w:r/>
    </w:p>
    <w:sectPr>
      <w:footnotePr/>
      <w:endnotePr/>
      <w:type w:val="nextPage"/>
      <w:pgSz w:h="15840" w:orient="portrait" w:w="12240"/>
      <w:pgMar w:top="1152" w:right="1296" w:bottom="1152" w:left="129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/>
      <w:color w:val="1f2937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2026-10-27T05:21:11Z</dcterms:modified>
  <cp:category/>
</cp:coreProperties>
</file>