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Cs w:val="18"/>
        </w:rPr>
      </w:pPr>
      <w:r>
        <w:rPr>
          <w:szCs w:val="18"/>
        </w:rPr>
      </w:r>
    </w:p>
    <w:tbl>
      <w:tblPr>
        <w:tblW w:w="105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48"/>
        <w:gridCol w:w="5668"/>
      </w:tblGrid>
      <w:tr>
        <w:trPr>
          <w:trHeight w:val="1090" w:hRule="atLeast"/>
        </w:trPr>
        <w:tc>
          <w:tcPr>
            <w:tcW w:w="4848" w:type="dxa"/>
            <w:tcBorders/>
          </w:tcPr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CÔNG TY CỔ PHẦN CÔNG NGHỆ</w:t>
            </w:r>
          </w:p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KIOTVIET</w:t>
            </w:r>
          </w:p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i/>
                <w:szCs w:val="18"/>
              </w:rPr>
              <w:t xml:space="preserve">Số: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i/>
                <w:b/>
                <w:szCs w:val="18"/>
                <w:lang w:val="en-US" w:eastAsia="en-US"/>
              </w:rPr>
              <w:instrText xml:space="preserve"> FORMTEXT </w:instrText>
            </w:r>
            <w:r>
              <w:rPr>
                <w:b/>
                <w:i/>
                <w:szCs w:val="18"/>
                <w:lang w:val="en-US" w:eastAsia="en-US"/>
              </w:rPr>
            </w:r>
            <w:r>
              <w:rPr>
                <w:i/>
                <w:b/>
                <w:szCs w:val="18"/>
                <w:lang w:val="en-US" w:eastAsia="en-US"/>
              </w:rPr>
              <w:fldChar w:fldCharType="separate"/>
            </w:r>
            <w:r>
              <w:rPr>
                <w:b/>
                <w:i/>
                <w:szCs w:val="18"/>
                <w:lang w:val="en-US" w:eastAsia="en-US"/>
              </w:rPr>
              <w:t>{{SO_PHU_LUC}}</w:t>
            </w:r>
            <w:r/>
            <w:r>
              <w:rPr>
                <w:i/>
                <w:b/>
                <w:szCs w:val="18"/>
                <w:lang w:val="en-US" w:eastAsia="en-US"/>
              </w:rPr>
              <w:fldChar w:fldCharType="end"/>
            </w:r>
            <w:r>
              <w:rPr>
                <w:b/>
                <w:i/>
                <w:szCs w:val="18"/>
                <w:lang w:val="en-US" w:eastAsia="en-US"/>
              </w:rPr>
            </w:r>
          </w:p>
        </w:tc>
        <w:tc>
          <w:tcPr>
            <w:tcW w:w="5668" w:type="dxa"/>
            <w:tcBorders/>
          </w:tcPr>
          <w:p>
            <w:pPr>
              <w:pStyle w:val="Heading1"/>
              <w:ind w:hanging="0" w:start="0" w:end="972"/>
              <w:jc w:val="center"/>
              <w:rPr>
                <w:bCs w:val="false"/>
                <w:sz w:val="18"/>
                <w:szCs w:val="18"/>
              </w:rPr>
            </w:pPr>
            <w:r>
              <w:rPr>
                <w:bCs w:val="false"/>
                <w:sz w:val="18"/>
                <w:szCs w:val="18"/>
              </w:rPr>
              <w:t>CỘNG HÒA XÃ HỘI CHỦ NGHĨA VIỆT NAM</w:t>
            </w:r>
          </w:p>
          <w:p>
            <w:pPr>
              <w:pStyle w:val="Heading2"/>
              <w:ind w:hanging="0" w:start="0" w:end="1062"/>
              <w:rPr>
                <w:rFonts w:ascii="Verdana" w:hAnsi="Verdana" w:cs="Verdana"/>
                <w:b w:val="false"/>
                <w:bCs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bCs w:val="false"/>
                <w:sz w:val="18"/>
                <w:szCs w:val="18"/>
              </w:rPr>
              <w:t>Độc Lập – Tự Do – Hạnh  Phúc</w:t>
            </w:r>
          </w:p>
          <w:p>
            <w:pPr>
              <w:pStyle w:val="Normal"/>
              <w:ind w:end="1062"/>
              <w:jc w:val="center"/>
              <w:rPr>
                <w:szCs w:val="18"/>
              </w:rPr>
            </w:pPr>
            <w:r>
              <w:rPr>
                <w:szCs w:val="18"/>
              </w:rPr>
              <w:t>----------***----------</w:t>
            </w:r>
          </w:p>
          <w:p>
            <w:pPr>
              <w:pStyle w:val="Heading3"/>
              <w:ind w:hanging="0" w:start="0"/>
              <w:jc w:val="end"/>
              <w:rPr>
                <w:b w:val="false"/>
                <w:bCs w:val="false"/>
                <w:szCs w:val="18"/>
              </w:rPr>
            </w:pPr>
            <w:r>
              <w:rPr>
                <w:b w:val="false"/>
                <w:bCs w:val="false"/>
                <w:szCs w:val="18"/>
              </w:rPr>
            </w:r>
          </w:p>
          <w:p>
            <w:pPr>
              <w:pStyle w:val="Heading3"/>
              <w:ind w:hanging="0" w:start="0"/>
              <w:jc w:val="end"/>
              <w:rPr>
                <w:b w:val="false"/>
                <w:bCs w:val="false"/>
                <w:szCs w:val="18"/>
              </w:rPr>
            </w:pPr>
            <w:r>
              <w:rPr>
                <w:b w:val="false"/>
                <w:bCs w:val="false"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center" w:pos="2127" w:leader="none"/>
        </w:tabs>
        <w:spacing w:lineRule="auto" w:line="360" w:before="120" w:after="0"/>
        <w:jc w:val="center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</w:rPr>
        <w:t>PHỤ LỤC CHUYỂN NHƯỢNG HỢP ĐỒNG</w:t>
      </w:r>
    </w:p>
    <w:p>
      <w:pPr>
        <w:pStyle w:val="HTMLPreformatted"/>
        <w:shd w:fill="FFFFFF" w:val="clear"/>
        <w:jc w:val="center"/>
        <w:rPr>
          <w:rFonts w:ascii="Verdana" w:hAnsi="Verdana" w:cs="Verdana"/>
          <w:sz w:val="18"/>
          <w:szCs w:val="18"/>
          <w:lang w:val="vi-VN"/>
        </w:rPr>
      </w:pPr>
      <w:r>
        <w:rPr>
          <w:rFonts w:cs="Verdana" w:ascii="Verdana" w:hAnsi="Verdana"/>
          <w:bCs/>
          <w:i/>
          <w:sz w:val="18"/>
          <w:szCs w:val="18"/>
          <w:lang w:val="vi-VN"/>
        </w:rPr>
        <w:t>(Kèm theo Hợp đồng số: {{SO_HOP_DONG_GOC}}</w:t>
      </w:r>
      <w:r>
        <w:rPr>
          <w:rFonts w:cs="Verdana" w:ascii="Verdana" w:hAnsi="Verdana"/>
          <w:bCs/>
          <w:i/>
          <w:sz w:val="18"/>
          <w:szCs w:val="18"/>
        </w:rPr>
        <w:tab/>
      </w:r>
      <w:r>
        <w:rPr>
          <w:rFonts w:cs="Verdana" w:ascii="Verdana" w:hAnsi="Verdana"/>
          <w:bCs/>
          <w:i/>
          <w:sz w:val="18"/>
          <w:szCs w:val="18"/>
          <w:lang w:val="vi-VN"/>
        </w:rPr>
        <w:t>)</w:t>
      </w:r>
    </w:p>
    <w:p>
      <w:pPr>
        <w:pStyle w:val="Normal"/>
        <w:tabs>
          <w:tab w:val="clear" w:pos="720"/>
          <w:tab w:val="center" w:pos="2127" w:leader="none"/>
        </w:tabs>
        <w:jc w:val="center"/>
        <w:rPr>
          <w:rFonts w:ascii="Verdana" w:hAnsi="Verdana" w:cs="Verdana"/>
          <w:b/>
          <w:bCs/>
          <w:sz w:val="18"/>
          <w:szCs w:val="18"/>
          <w:lang w:val="vi-VN"/>
        </w:rPr>
      </w:pPr>
      <w:r>
        <w:rPr>
          <w:rFonts w:cs="Verdana"/>
          <w:b/>
          <w:bCs/>
          <w:sz w:val="18"/>
          <w:szCs w:val="18"/>
          <w:lang w:val="vi-VN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Bộ luật Dân sự số 91/2015/QH13 của Quốc hội nước Cộng hòa xã hội chủ nghĩa Việt Nam thông qua ngày 24/11/2015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Luật Thương mại số 36/2005/QH11 của Quốc hội nước Cộng hòa xã hội chủ nghĩa Việt Nam thông qua ngày 14/06/2005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Luật Công nghệ Thông tin số 67/2006/QH11 của Quốc hội nước Cộng hòa xã hội chủ nghĩa Việt Nam thông qua ngày 29/06/2006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các văn bản pháp luật hiện hành có liên quan.</w:t>
      </w:r>
    </w:p>
    <w:p>
      <w:pPr>
        <w:pStyle w:val="Normal"/>
        <w:numPr>
          <w:ilvl w:val="0"/>
          <w:numId w:val="3"/>
        </w:numPr>
        <w:autoSpaceDE w:val="true"/>
        <w:spacing w:lineRule="auto" w:line="276" w:before="120" w:after="120"/>
        <w:ind w:hanging="357" w:start="714" w:end="0"/>
        <w:jc w:val="both"/>
        <w:rPr>
          <w:i/>
          <w:i/>
          <w:iCs/>
          <w:szCs w:val="18"/>
        </w:rPr>
      </w:pPr>
      <w:r>
        <w:rPr>
          <w:i/>
          <w:iCs/>
          <w:szCs w:val="18"/>
        </w:rPr>
        <w:t xml:space="preserve">Căn cứ Hợp đồng số: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 xml:space="preserve">{{SO_HOP_DONG_GOC}} 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>được ký kết giữa Công ty Cổ phần Công nghệ KIOTVIET và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{{TEN_BEN_B}}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, ngày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{{NGAY_KY_HD_GOC_D}}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 tháng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{{NGAY_KY_HD_GOC_T}}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>năm 20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{{NGAY_KY_HD_GOC_Y2}}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; </w:t>
      </w:r>
    </w:p>
    <w:p>
      <w:pPr>
        <w:pStyle w:val="Heading8"/>
        <w:spacing w:lineRule="auto" w:line="300" w:before="120" w:after="120"/>
        <w:ind w:firstLine="360" w:start="0" w:end="0"/>
        <w:rPr>
          <w:b w:val="false"/>
          <w:i w:val="false"/>
          <w:i w:val="false"/>
          <w:iCs w:val="false"/>
          <w:sz w:val="18"/>
          <w:szCs w:val="18"/>
        </w:rPr>
      </w:pPr>
      <w:r>
        <w:rPr>
          <w:b w:val="false"/>
          <w:i w:val="false"/>
          <w:iCs w:val="false"/>
          <w:sz w:val="18"/>
          <w:szCs w:val="18"/>
        </w:rPr>
        <w:t xml:space="preserve">Hôm nay, ngày  </w:t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 xml:space="preserve">{{NGAY_KY_PL_D}} 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 tháng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 xml:space="preserve">{{NGAY_KY_PL_T}} 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năm </w:t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>{{NGAY_KY_PL_Y}}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 chúng tôi gồm:</w:t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6"/>
      </w:tblGrid>
      <w:tr>
        <w:trPr/>
        <w:tc>
          <w:tcPr>
            <w:tcW w:w="9576" w:type="dxa"/>
            <w:tcBorders/>
            <w:shd w:fill="D9E2F3" w:val="clear"/>
          </w:tcPr>
          <w:p>
            <w:pPr>
              <w:pStyle w:val="Normal"/>
              <w:tabs>
                <w:tab w:val="clear" w:pos="720"/>
                <w:tab w:val="right" w:pos="1530" w:leader="none"/>
                <w:tab w:val="right" w:pos="9000" w:leader="dot"/>
              </w:tabs>
              <w:spacing w:before="120" w:after="60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BÊN A: CÔNG TY CỔ PHẦN CÔNG NGHỆ KIOTVIET</w:t>
            </w:r>
          </w:p>
        </w:tc>
      </w:tr>
    </w:tbl>
    <w:p>
      <w:pPr>
        <w:pStyle w:val="Normal"/>
        <w:tabs>
          <w:tab w:val="clear" w:pos="720"/>
          <w:tab w:val="right" w:pos="1530" w:leader="none"/>
          <w:tab w:val="right" w:pos="9000" w:leader="none"/>
        </w:tabs>
        <w:spacing w:lineRule="auto" w:line="276" w:before="120" w:after="60"/>
        <w:rPr>
          <w:rFonts w:eastAsia="Verdana" w:cs="Verdana"/>
          <w:szCs w:val="18"/>
        </w:rPr>
      </w:pPr>
      <w:r>
        <w:rPr>
          <w:rFonts w:eastAsia="Verdana" w:cs="Verdana"/>
          <w:szCs w:val="18"/>
        </w:rPr>
        <w:t>Đại diện</w:t>
        <w:tab/>
        <w:t xml:space="preserve">        : Ông </w:t>
      </w:r>
      <w:r>
        <w:rPr>
          <w:rFonts w:eastAsia="Verdana" w:cs="Verdana"/>
          <w:b/>
          <w:szCs w:val="18"/>
        </w:rPr>
        <w:t>Đỗ Tuấn Anh</w:t>
      </w:r>
    </w:p>
    <w:p>
      <w:pPr>
        <w:pStyle w:val="Normal"/>
        <w:tabs>
          <w:tab w:val="clear" w:pos="720"/>
          <w:tab w:val="right" w:pos="1530" w:leader="none"/>
          <w:tab w:val="right" w:pos="9000" w:leader="none"/>
        </w:tabs>
        <w:spacing w:lineRule="auto" w:line="276" w:before="120" w:after="60"/>
        <w:rPr>
          <w:rFonts w:eastAsia="Verdana" w:cs="Verdana"/>
          <w:szCs w:val="18"/>
        </w:rPr>
      </w:pPr>
      <w:r>
        <w:rPr>
          <w:rFonts w:eastAsia="Verdana" w:cs="Verdana"/>
          <w:szCs w:val="18"/>
        </w:rPr>
        <w:t>Chức vụ</w:t>
        <w:tab/>
        <w:t xml:space="preserve">        : </w:t>
      </w:r>
      <w:r>
        <w:rPr>
          <w:rFonts w:eastAsia="Verdana" w:cs="Verdana"/>
          <w:b/>
          <w:szCs w:val="18"/>
        </w:rPr>
        <w:t>Phó Tổng Giám Đốc</w:t>
      </w:r>
    </w:p>
    <w:p>
      <w:pPr>
        <w:pStyle w:val="Normal"/>
        <w:tabs>
          <w:tab w:val="clear" w:pos="720"/>
          <w:tab w:val="left" w:pos="360" w:leader="none"/>
        </w:tabs>
        <w:spacing w:lineRule="auto" w:line="276" w:before="120" w:after="60"/>
        <w:rPr/>
      </w:pPr>
      <w:r>
        <w:rPr>
          <w:i/>
          <w:iCs/>
          <w:szCs w:val="18"/>
        </w:rPr>
        <w:t xml:space="preserve">(Quyết định ủy quyền số </w:t>
      </w:r>
      <w:r>
        <w:rPr>
          <w:i/>
          <w:szCs w:val="18"/>
        </w:rPr>
        <w:t>04/2025/GUQ-KV ngày 03 tháng 11 năm 2025</w:t>
      </w:r>
      <w:r>
        <w:rPr>
          <w:i/>
          <w:iCs/>
          <w:szCs w:val="18"/>
        </w:rPr>
        <w:t>)</w:t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/>
      </w:pPr>
      <w:r>
        <w:rPr>
          <w:b/>
          <w:bCs/>
          <w:szCs w:val="18"/>
        </w:rPr>
        <w:t>Trụ sở chính:</w:t>
      </w:r>
      <w:r>
        <w:rPr>
          <w:szCs w:val="18"/>
        </w:rPr>
        <w:t xml:space="preserve"> 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rPr/>
      </w:pPr>
      <w:r>
        <w:rPr>
          <w:szCs w:val="18"/>
        </w:rPr>
        <w:t xml:space="preserve">Tầng 3-6, Số 1A Yết Kiêu, </w:t>
      </w:r>
      <w:r>
        <w:rPr>
          <w:color w:val="000000"/>
          <w:lang w:val="vi-VN"/>
        </w:rPr>
        <w:t xml:space="preserve">P. </w:t>
      </w:r>
      <w:r>
        <w:rPr>
          <w:color w:val="000000"/>
        </w:rPr>
        <w:t>Cửa Nam</w:t>
      </w:r>
      <w:r>
        <w:rPr>
          <w:szCs w:val="18"/>
        </w:rPr>
        <w:t>, Hà Nội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rPr>
          <w:szCs w:val="18"/>
        </w:rPr>
      </w:pPr>
      <w:r>
        <w:rPr>
          <w:szCs w:val="18"/>
        </w:rPr>
        <w:t xml:space="preserve">Điện thoại </w:t>
        <w:tab/>
        <w:t>:  (024) 3929 0088</w:t>
      </w:r>
    </w:p>
    <w:p>
      <w:pPr>
        <w:pStyle w:val="Normal"/>
        <w:tabs>
          <w:tab w:val="clear" w:pos="720"/>
          <w:tab w:val="right" w:pos="1530" w:leader="none"/>
          <w:tab w:val="right" w:pos="9000" w:leader="dot"/>
        </w:tabs>
        <w:spacing w:lineRule="auto" w:line="300" w:before="120" w:after="60"/>
        <w:rPr>
          <w:b/>
          <w:bCs/>
          <w:szCs w:val="18"/>
        </w:rPr>
      </w:pPr>
      <w:r>
        <w:rPr>
          <w:b/>
          <w:bCs/>
          <w:szCs w:val="18"/>
        </w:rPr>
        <w:t>Văn phòng đại diện:</w:t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>
          <w:szCs w:val="18"/>
        </w:rPr>
      </w:pP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Lầu 6</w:t>
      </w:r>
      <w:r>
        <w:rPr/>
        <w:t>, khu B-C, Tòa nhà Waseco, Số 10 Phổ Quang, P. Tân Sơn Hòa, TP. HCM</w:t>
      </w:r>
      <w:r/>
      <w:r>
        <w:rPr/>
        <w:fldChar w:fldCharType="end"/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>
          <w:szCs w:val="18"/>
        </w:rPr>
      </w:pPr>
      <w:r>
        <w:rPr>
          <w:szCs w:val="18"/>
        </w:rPr>
        <w:t xml:space="preserve">Điện thoại </w:t>
        <w:tab/>
        <w:t xml:space="preserve">: </w:t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(028) 62 533 433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Mã số thuế</w:t>
        <w:tab/>
        <w:t xml:space="preserve">: </w:t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0104359717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Email</w:t>
        <w:tab/>
        <w:t xml:space="preserve">: </w:t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hotro@kiotviet.com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 xml:space="preserve">Chuyên viên tư vấn: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{{CHUYEN_VIEN_TU_VAN_PL}}</w:t>
      </w:r>
      <w:r/>
      <w:r>
        <w:rPr>
          <w:szCs w:val="18"/>
          <w:lang w:val="en-US" w:eastAsia="en-US"/>
        </w:rPr>
        <w:fldChar w:fldCharType="end"/>
      </w:r>
    </w:p>
    <w:tbl>
      <w:tblPr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0"/>
      </w:tblGrid>
      <w:tr>
        <w:trPr/>
        <w:tc>
          <w:tcPr>
            <w:tcW w:w="9540" w:type="dxa"/>
            <w:tcBorders/>
            <w:shd w:fill="DEEBF6" w:val="clear"/>
          </w:tcPr>
          <w:p>
            <w:pPr>
              <w:pStyle w:val="Normal"/>
              <w:tabs>
                <w:tab w:val="clear" w:pos="720"/>
                <w:tab w:val="left" w:pos="1440" w:leader="none"/>
              </w:tabs>
              <w:spacing w:lineRule="auto" w:line="360" w:before="120" w:after="0"/>
              <w:rPr/>
            </w:pPr>
            <w:r>
              <w:rPr>
                <w:b/>
                <w:szCs w:val="18"/>
              </w:rPr>
              <w:t>BÊN B</w:t>
            </w:r>
            <w:r>
              <w:rPr>
                <w:b/>
              </w:rPr>
              <w:t xml:space="preserve">: </w:t>
            </w:r>
            <w:r>
              <w:rPr>
                <w:b/>
                <w:szCs w:val="18"/>
              </w:rPr>
              <w:t>{{TEN_BEN_B}}</w:t>
            </w:r>
          </w:p>
        </w:tc>
      </w:tr>
    </w:tbl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bookmarkStart w:id="0" w:name="_heading=h.30j0zll"/>
      <w:bookmarkEnd w:id="0"/>
      <w:r>
        <w:rPr/>
        <w:t xml:space="preserve">Đại diện: (Ông/Bà) </w:t>
      </w:r>
      <w:r>
        <w:rPr>
          <w:b/>
        </w:rPr>
        <w:t>{{DAI_DIEN_BEN_B}}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CMND/CCCD: {{CCCD}} Ngày cấp: {{NGAY_CAP}} Nơi cấp: {{NOI_CAP}}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Ngày sinh: {{NGAY_SINH}} Chức vụ: {{CHUC_VU_BEN_B}}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Địa chỉ: {{DIA_CHI}}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>
          <w:rFonts w:eastAsia="Arial" w:cs="Arial"/>
        </w:rPr>
        <w:t xml:space="preserve">Phường: {{PHUONG}} </w:t>
        <w:tab/>
        <w:tab/>
        <w:t>Tỉnh/Thành phố: {{TINH_THANH}}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Điện thoại: {{SDT}} Email: {{EMAIL}}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Mã số thuế: {{MST}}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Số tài khoản: {{SO_TAI_KHOAN}}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Ngành hàng: {{NGANH_HANG}}</w:t>
      </w:r>
    </w:p>
    <w:tbl>
      <w:tblPr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0"/>
      </w:tblGrid>
      <w:tr>
        <w:trPr/>
        <w:tc>
          <w:tcPr>
            <w:tcW w:w="9540" w:type="dxa"/>
            <w:tcBorders/>
            <w:shd w:fill="DEEBF6" w:val="clear"/>
          </w:tcPr>
          <w:p>
            <w:pPr>
              <w:pStyle w:val="Normal"/>
              <w:tabs>
                <w:tab w:val="clear" w:pos="720"/>
                <w:tab w:val="left" w:pos="1440" w:leader="none"/>
              </w:tabs>
              <w:spacing w:lineRule="auto" w:line="360" w:before="120" w:after="0"/>
              <w:rPr/>
            </w:pPr>
            <w:r>
              <w:rPr>
                <w:b/>
                <w:szCs w:val="18"/>
              </w:rPr>
              <w:t>BÊN C</w:t>
            </w:r>
            <w:r>
              <w:rPr>
                <w:b/>
              </w:rPr>
              <w:t xml:space="preserve">: </w:t>
            </w:r>
            <w:r>
              <w:rPr>
                <w:b/>
                <w:szCs w:val="18"/>
              </w:rPr>
              <w:t>{{TEN_BEN_C}}</w:t>
            </w:r>
          </w:p>
        </w:tc>
      </w:tr>
    </w:tbl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 xml:space="preserve">Đại diện: (Ông/Bà) </w:t>
      </w:r>
      <w:r>
        <w:rPr>
          <w:b/>
        </w:rPr>
        <w:t>{{DAI_DIEN_BEN_C}}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CMND/CCCD: {{CCCD_C}} Ngày cấp: {{NGAY_CAP_C}} Nơi cấp: {{NOI_CAP_C}}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Ngày sinh: {{NGAY_SINH_C}} Chức vụ: {{CHUC_VU_BEN_C}}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Địa chỉ: {{DIA_CHI_C}}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>
          <w:rFonts w:eastAsia="Arial" w:cs="Arial"/>
        </w:rPr>
        <w:t xml:space="preserve">Phường: {{PHUONG_C}} </w:t>
        <w:tab/>
        <w:t>Tỉnh/Thành phố: {{TINH_THANH_C}}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Điện thoại: {{SDT_C}} Email: {{EMAIL_C}}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Mã số thuế: {{MST_C}}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Số tài khoản: {{SO_TAI_KHOAN_C}}</w:t>
      </w:r>
    </w:p>
    <w:p>
      <w:pPr>
        <w:pStyle w:val="Normal"/>
        <w:spacing w:lineRule="auto" w:line="276" w:before="120" w:after="120"/>
        <w:jc w:val="both"/>
        <w:rPr>
          <w:szCs w:val="18"/>
        </w:rPr>
      </w:pPr>
      <w:r>
        <w:rPr/>
        <w:t>Ngành hàng: {{NGANH_HANG_C}}</w:t>
      </w:r>
    </w:p>
    <w:p>
      <w:pPr>
        <w:pStyle w:val="Normal"/>
        <w:spacing w:lineRule="auto" w:line="276" w:before="120" w:after="120"/>
        <w:jc w:val="both"/>
        <w:rPr>
          <w:bCs/>
          <w:iCs/>
          <w:szCs w:val="18"/>
        </w:rPr>
      </w:pPr>
      <w:r>
        <w:rPr>
          <w:szCs w:val="18"/>
        </w:rPr>
        <w:t xml:space="preserve">Các bên cùng thỏa thuận ký kết </w:t>
      </w:r>
      <w:r>
        <w:rPr>
          <w:b/>
          <w:szCs w:val="18"/>
        </w:rPr>
        <w:t>Phụ lục Chuyển nhượng</w:t>
      </w:r>
      <w:r>
        <w:rPr>
          <w:szCs w:val="18"/>
        </w:rPr>
        <w:t xml:space="preserve"> với </w:t>
      </w:r>
      <w:r>
        <w:rPr>
          <w:bCs/>
          <w:szCs w:val="18"/>
        </w:rPr>
        <w:t xml:space="preserve">Hợp đồng số       </w:t>
      </w:r>
      <w:r>
        <w:rPr>
          <w:szCs w:val="18"/>
        </w:rPr>
        <w:t xml:space="preserve">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Cs w:val="18"/>
        </w:rPr>
        <w:instrText xml:space="preserve"> FORMTEXT </w:instrText>
        <w:fldChar w:fldCharType="separate"/>
      </w:r>
      <w:r>
        <w:rPr>
          <w:szCs w:val="18"/>
          <w:lang w:val="en-US" w:eastAsia="en-US"/>
        </w:rPr>
        <w:t>{{SO_HOP_DONG_GOC}}</w:t>
        <w:fldChar w:fldCharType="end"/>
      </w:r>
      <w:r>
        <w:rPr>
          <w:szCs w:val="18"/>
        </w:rPr>
        <w:t>ký ngày</w:t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 xml:space="preserve">{{NGAY_KY_HD_GOC_TEXT}} </w:t>
        <w:fldChar w:fldCharType="end"/>
      </w:r>
      <w:r>
        <w:rPr>
          <w:szCs w:val="18"/>
        </w:rPr>
        <w:t xml:space="preserve">giữa bên A và bên B (sau đây gọi là “Hợp đồng”) với các điều khoản và điều kiện sau: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440" w:leader="none"/>
        </w:tabs>
        <w:spacing w:lineRule="auto" w:line="300" w:before="120" w:after="120"/>
        <w:jc w:val="both"/>
        <w:rPr>
          <w:b/>
          <w:bCs/>
          <w:szCs w:val="18"/>
        </w:rPr>
      </w:pPr>
      <w:r>
        <w:rPr>
          <w:b/>
          <w:bCs/>
          <w:szCs w:val="18"/>
        </w:rPr>
        <w:t>THỎA THUẬN CHUYỂN NHƯỢNG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 xml:space="preserve">Bên A và Bên B đồng ý chuyển nhượng Hợp đồng cung cấp dịch vụ của Bên A đối với Bên B sang cho Bên C kể từ ngày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>{{NGAY_HIEU_LUC}}</w:t>
      </w:r>
      <w:r/>
      <w:r>
        <w:rPr>
          <w:szCs w:val="18"/>
          <w:lang w:val="es-ES_tradnl" w:eastAsia="en-US"/>
        </w:rPr>
        <w:fldChar w:fldCharType="end"/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>Sau thời điểm này, mọi quyền lợi và nghĩa vụ của Bên B theo Hợp đồng và phụ lục liên quan tới Hợp đồng sẽ được chuyển nhượng cho Bên C; mọi chi phí phát sinh liên quan tới Hợp đồng này sẽ do Bên A và bên C thỏa thuận thanh toán.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 xml:space="preserve">Bên A sẽ cung cấp Phần mềm bằng cách thay đổi tài khoản từ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 xml:space="preserve">[{{TAI_KHOAN_CU}}.kiotviet.com] </w:t>
        <w:fldChar w:fldCharType="end"/>
      </w:r>
      <w:r>
        <w:rPr>
          <w:szCs w:val="18"/>
          <w:lang w:val="es-ES_tradnl"/>
        </w:rPr>
        <w:t xml:space="preserve">sang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 xml:space="preserve">[{{TAI_KHOAN_MOI}}.kiotviet.com] </w:t>
        <w:fldChar w:fldCharType="end"/>
      </w:r>
      <w:r>
        <w:rPr>
          <w:szCs w:val="18"/>
          <w:lang w:val="es-ES_tradnl"/>
        </w:rPr>
        <w:t>cho Bên C sử dụng trong vòng 02 (hai) ngày làm việc kể từ ngày Phụ lục Chuyển nhượng này được ký kết.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900" w:leader="none"/>
        </w:tabs>
        <w:spacing w:lineRule="auto" w:line="300" w:before="120" w:after="120"/>
        <w:jc w:val="both"/>
        <w:rPr>
          <w:b/>
          <w:bCs/>
          <w:szCs w:val="18"/>
        </w:rPr>
      </w:pPr>
      <w:r>
        <w:rPr>
          <w:b/>
          <w:bCs/>
          <w:szCs w:val="18"/>
        </w:rPr>
        <w:t>THANH TOÁN</w:t>
      </w:r>
    </w:p>
    <w:p>
      <w:pPr>
        <w:pStyle w:val="Normal"/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>Các bên không phải thanh toán chi phí nào cho việc chuyển nhượng hợp đồng này.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120"/>
        <w:jc w:val="both"/>
        <w:rPr/>
      </w:pPr>
      <w:r>
        <w:rPr>
          <w:b/>
          <w:szCs w:val="18"/>
          <w:lang w:val="es-ES_tradnl"/>
        </w:rPr>
        <w:t>ĐIỀU 3.   ĐIỀU KHOẢN CHUNG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 xml:space="preserve">Phụ lục này là phần không tách rời của Hợp đồng số </w:t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Cs w:val="18"/>
          <w:bCs/>
          <w:lang w:val="es-ES_tradnl" w:eastAsia="en-US"/>
        </w:rPr>
        <w:instrText xml:space="preserve"> FORMTEXT </w:instrText>
      </w:r>
      <w:r>
        <w:rPr>
          <w:bCs/>
          <w:szCs w:val="18"/>
          <w:lang w:val="es-ES_tradnl" w:eastAsia="en-US"/>
        </w:rPr>
      </w:r>
      <w:r>
        <w:rPr>
          <w:szCs w:val="18"/>
          <w:bCs/>
          <w:lang w:val="es-ES_tradnl" w:eastAsia="en-US"/>
        </w:rPr>
        <w:fldChar w:fldCharType="separate"/>
      </w:r>
      <w:r>
        <w:rPr>
          <w:bCs/>
          <w:szCs w:val="18"/>
          <w:lang w:val="es-ES_tradnl" w:eastAsia="en-US"/>
        </w:rPr>
        <w:t>{{SO_HOP_DONG_GOC}}</w:t>
      </w:r>
      <w:r/>
      <w:r>
        <w:rPr>
          <w:szCs w:val="18"/>
          <w:bCs/>
          <w:lang w:val="es-ES_tradnl" w:eastAsia="en-US"/>
        </w:rPr>
        <w:fldChar w:fldCharType="end"/>
      </w:r>
      <w:r>
        <w:rPr>
          <w:bCs/>
          <w:szCs w:val="18"/>
          <w:lang w:val="es-ES_tradnl" w:eastAsia="en-US"/>
        </w:rPr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>Ngoài các điều khoản nêu trong Phụ lục này thì mọi điều khoản khác thực hiện theo quy định của Hợp đồng đã nêu.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 xml:space="preserve">Phụ lục được lập thành 03 (ba) bản bằng tiếng Việt, có giá trị pháp lý như nhau, mỗi Bên giữ 01 (một) bản. </w:t>
      </w:r>
    </w:p>
    <w:p>
      <w:pPr>
        <w:pStyle w:val="Normal"/>
        <w:tabs>
          <w:tab w:val="clear" w:pos="720"/>
          <w:tab w:val="left" w:pos="900" w:leader="none"/>
        </w:tabs>
        <w:spacing w:before="60" w:after="6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</w:r>
    </w:p>
    <w:tbl>
      <w:tblPr>
        <w:tblW w:w="96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92"/>
        <w:gridCol w:w="3054"/>
        <w:gridCol w:w="3220"/>
      </w:tblGrid>
      <w:tr>
        <w:trPr/>
        <w:tc>
          <w:tcPr>
            <w:tcW w:w="3392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 xml:space="preserve">ĐỖ TUẤN ANH </w:t>
            </w:r>
          </w:p>
        </w:tc>
        <w:tc>
          <w:tcPr>
            <w:tcW w:w="3054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{{DAI_DIEN_BEN_B}}</w:t>
            </w:r>
          </w:p>
        </w:tc>
        <w:tc>
          <w:tcPr>
            <w:tcW w:w="3220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C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{{DAI_DIEN_BEN_C}}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left" w:pos="360" w:leader="none"/>
        </w:tabs>
        <w:spacing w:lineRule="atLeast" w:line="280" w:before="120" w:after="0"/>
        <w:jc w:val="both"/>
        <w:rPr>
          <w:szCs w:val="18"/>
        </w:rPr>
      </w:pPr>
      <w:r>
        <w:rPr>
          <w:szCs w:val="18"/>
        </w:rPr>
      </w:r>
    </w:p>
    <w:sectPr>
      <w:headerReference w:type="default" r:id="rId2"/>
      <w:footerReference w:type="default" r:id="rId3"/>
      <w:type w:val="nextPage"/>
      <w:pgSz w:w="11906" w:h="16838"/>
      <w:pgMar w:left="1350" w:right="1107" w:gutter="0" w:header="0" w:top="1170" w:footer="0" w:bottom="630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altName w:val="Times New Roman"/>
    <w:charset w:val="00" w:characterSet="windows-1252"/>
    <w:family w:val="roman"/>
    <w:pitch w:val="default"/>
  </w:font>
  <w:font w:name="VNI-Times">
    <w:altName w:val="Times New Roman"/>
    <w:charset w:val="00" w:characterSet="windows-125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tabs>
        <w:tab w:val="clear" w:pos="8640"/>
        <w:tab w:val="center" w:pos="4320" w:leader="none"/>
        <w:tab w:val="right" w:pos="8460" w:leader="none"/>
      </w:tabs>
      <w:rPr>
        <w:rFonts w:ascii="Arial" w:hAnsi="Arial" w:cs="Arial"/>
        <w:szCs w:val="18"/>
      </w:rPr>
    </w:pPr>
    <w:r>
      <w:rPr>
        <w:rFonts w:cs="Arial" w:ascii="Arial" w:hAnsi="Arial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2"/>
        <w:szCs w:val="22"/>
      </w:rPr>
    </w:pPr>
    <w:r>
      <w:rPr>
        <w:sz w:val="22"/>
        <w:szCs w:val="22"/>
      </w:rPr>
    </w:r>
  </w:p>
  <w:p>
    <w:pPr>
      <w:pStyle w:val="Header"/>
      <w:jc w:val="center"/>
      <w:rPr>
        <w:rFonts w:eastAsia="Verdana"/>
        <w:sz w:val="22"/>
        <w:szCs w:val="22"/>
      </w:rPr>
    </w:pPr>
    <w:r>
      <w:rPr>
        <w:rFonts w:eastAsia="Verdana"/>
        <w:sz w:val="22"/>
        <w:szCs w:val="22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75" w:hanging="375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/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sz w:val="26"/>
        <w:szCs w:val="26"/>
      </w:rPr>
    </w:lvl>
  </w:abstractNum>
  <w:abstractNum w:abstractNumId="4">
    <w:lvl w:ilvl="0">
      <w:start w:val="1"/>
      <w:numFmt w:val="decimal"/>
      <w:lvlText w:val="ĐIỀU %1."/>
      <w:lvlJc w:val="start"/>
      <w:pPr>
        <w:tabs>
          <w:tab w:val="num" w:pos="360"/>
        </w:tabs>
        <w:ind w:start="187" w:hanging="187"/>
      </w:pPr>
      <w:rPr>
        <w:color w:val="000000"/>
      </w:rPr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Verdana" w:hAnsi="Verdana" w:eastAsia="Times New Roman" w:cs="Verdana"/>
      <w:color w:val="auto"/>
      <w:sz w:val="18"/>
      <w:szCs w:val="28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spacing w:lineRule="auto" w:line="312" w:before="0" w:after="4"/>
      <w:jc w:val="both"/>
      <w:outlineLvl w:val="0"/>
    </w:pPr>
    <w:rPr>
      <w:b/>
      <w:bCs/>
      <w:sz w:val="20"/>
      <w:szCs w:val="24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tabs>
        <w:tab w:val="clear" w:pos="720"/>
        <w:tab w:val="center" w:pos="2127" w:leader="none"/>
      </w:tabs>
      <w:jc w:val="center"/>
      <w:outlineLvl w:val="1"/>
    </w:pPr>
    <w:rPr>
      <w:rFonts w:ascii=".VnArialH;Courier New" w:hAnsi=".VnArialH;Courier New" w:cs=".VnArialH;Courier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/>
      <w:jc w:val="center"/>
      <w:outlineLvl w:val="2"/>
    </w:pPr>
    <w:rPr>
      <w:b/>
      <w:bCs/>
      <w:i/>
      <w:i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360"/>
      <w:outlineLvl w:val="5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exact" w:line="360"/>
      <w:ind w:hanging="187" w:start="187" w:end="0"/>
      <w:jc w:val="both"/>
      <w:outlineLvl w:val="7"/>
    </w:pPr>
    <w:rPr>
      <w:b/>
      <w:bCs/>
      <w:i/>
      <w:iCs/>
      <w:sz w:val="20"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rFonts w:ascii="Times New Roman" w:hAnsi="Times New Roman" w:eastAsia="Times New Roman" w:cs="Times New Roman"/>
      <w:sz w:val="26"/>
      <w:szCs w:val="26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9z1">
    <w:name w:val="WW8Num9z1"/>
    <w:qFormat/>
    <w:rPr>
      <w:b w:val="false"/>
    </w:rPr>
  </w:style>
  <w:style w:type="character" w:styleId="WW8Num9z2">
    <w:name w:val="WW8Num9z2"/>
    <w:qFormat/>
    <w:rPr/>
  </w:style>
  <w:style w:type="character" w:styleId="WW8Num10z0">
    <w:name w:val="WW8Num10z0"/>
    <w:qFormat/>
    <w:rPr>
      <w:b w:val="false"/>
    </w:rPr>
  </w:style>
  <w:style w:type="character" w:styleId="WW8Num10z3">
    <w:name w:val="WW8Num10z3"/>
    <w:qFormat/>
    <w:rPr/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rFonts w:ascii=".VnTime;Times New Roman" w:hAnsi=".VnTime;Times New Roman" w:cs=".VnTime;Times New Roman"/>
      <w:sz w:val="26"/>
      <w:szCs w:val="26"/>
      <w:lang w:val="en-US" w:bidi="ar-SA"/>
    </w:rPr>
  </w:style>
  <w:style w:type="character" w:styleId="rowhead">
    <w:name w:val="rowhead"/>
    <w:basedOn w:val="DefaultParagraphFont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HTMLPreformattedChar">
    <w:name w:val="HTML Preformatted Char"/>
    <w:qFormat/>
    <w:rPr>
      <w:rFonts w:ascii="Courier New" w:hAnsi="Courier New" w:cs="Courier New"/>
    </w:rPr>
  </w:style>
  <w:style w:type="character" w:styleId="FooterChar">
    <w:name w:val="Footer Char"/>
    <w:qFormat/>
    <w:rPr>
      <w:rFonts w:ascii=".VnTime;Times New Roman" w:hAnsi=".VnTime;Times New Roman" w:cs=".VnTime;Times New Roman"/>
      <w:sz w:val="28"/>
      <w:szCs w:val="28"/>
    </w:rPr>
  </w:style>
  <w:style w:type="paragraph" w:styleId="Heading">
    <w:name w:val="Heading"/>
    <w:basedOn w:val="Normal"/>
    <w:next w:val="BodyText"/>
    <w:qFormat/>
    <w:pPr>
      <w:autoSpaceDE w:val="true"/>
      <w:jc w:val="center"/>
    </w:pPr>
    <w:rPr>
      <w:rFonts w:ascii="VNI-Times;Times New Roman" w:hAnsi="VNI-Times;Times New Roman" w:eastAsia="Batang;바탕" w:cs="VNI-Times;Times New Roman"/>
      <w:b/>
      <w:bCs/>
      <w:sz w:val="24"/>
      <w:szCs w:val="24"/>
    </w:rPr>
  </w:style>
  <w:style w:type="paragraph" w:styleId="BodyText">
    <w:name w:val="Body Text"/>
    <w:basedOn w:val="Normal"/>
    <w:pPr>
      <w:spacing w:lineRule="exact" w:line="380"/>
      <w:jc w:val="both"/>
    </w:pPr>
    <w:rPr>
      <w:sz w:val="26"/>
      <w:szCs w:val="2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exact" w:line="320"/>
      <w:jc w:val="both"/>
    </w:pPr>
    <w:rPr>
      <w:i/>
      <w:iCs/>
      <w:sz w:val="26"/>
      <w:szCs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2">
    <w:name w:val="Body Text Indent 2"/>
    <w:basedOn w:val="Normal"/>
    <w:qFormat/>
    <w:pPr>
      <w:spacing w:lineRule="exact" w:line="320"/>
      <w:ind w:firstLine="567" w:start="0" w:end="0"/>
      <w:jc w:val="both"/>
    </w:pPr>
    <w:rPr>
      <w:i/>
      <w:iCs/>
      <w:sz w:val="26"/>
      <w:szCs w:val="26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har">
    <w:name w:val=" Char"/>
    <w:basedOn w:val="Normal"/>
    <w:qFormat/>
    <w:pPr>
      <w:pageBreakBefore/>
      <w:autoSpaceDE w:val="true"/>
      <w:spacing w:before="280" w:after="2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qFormat/>
    <w:pPr>
      <w:autoSpaceDE w:val="true"/>
      <w:spacing w:lineRule="auto" w:line="276" w:before="0" w:after="20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autoSpaceDE w:val="true"/>
    </w:pPr>
    <w:rPr>
      <w:rFonts w:ascii="Courier New" w:hAnsi="Courier New" w:cs="Courier New"/>
      <w:sz w:val="20"/>
      <w:szCs w:val="20"/>
    </w:rPr>
  </w:style>
  <w:style w:type="paragraph" w:styleId="Revision">
    <w:name w:val="Revision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2022-09-15T07:57:00Z</dcterms:created>
  <dc:creator>Quynhpn</dc:creator>
  <dc:description/>
  <cp:keywords/>
  <dc:language>en-US</dc:language>
  <cp:lastModifiedBy>Nguyễn Gia Nam</cp:lastModifiedBy>
  <cp:lastPrinted>2016-04-14T16:02:00Z</cp:lastPrinted>
  <dcterms:modified xsi:type="dcterms:W3CDTF">2025-12-25T10:03:00Z</dcterms:modified>
  <cp:revision>34</cp:revision>
  <dc:subject/>
  <dc:title>CHI NHÁNH CÔNG TY CỔ PHẦN TIE</dc:title>
</cp:coreProperties>
</file>