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AD30E" w14:textId="77777777" w:rsidR="000667C4" w:rsidRDefault="00000000">
      <w:pPr>
        <w:spacing w:before="1200" w:after="200"/>
      </w:pPr>
      <w:r>
        <w:rPr>
          <w:b/>
          <w:bCs/>
          <w:color w:val="1A1A1A"/>
          <w:sz w:val="56"/>
          <w:szCs w:val="56"/>
        </w:rPr>
        <w:t>Selected Engagements</w:t>
      </w:r>
    </w:p>
    <w:p w14:paraId="760FA4A3" w14:textId="77777777" w:rsidR="000667C4" w:rsidRDefault="00000000">
      <w:pPr>
        <w:spacing w:after="600"/>
      </w:pPr>
      <w:r>
        <w:rPr>
          <w:i/>
          <w:iCs/>
          <w:color w:val="5F5E5A"/>
          <w:sz w:val="24"/>
          <w:szCs w:val="24"/>
        </w:rPr>
        <w:t>Proposed website case study content — for review and adaptation</w:t>
      </w:r>
    </w:p>
    <w:p w14:paraId="512BF86D" w14:textId="77777777" w:rsidR="000667C4" w:rsidRDefault="00000000">
      <w:pPr>
        <w:spacing w:after="80"/>
      </w:pPr>
      <w:r>
        <w:rPr>
          <w:color w:val="1A1A1A"/>
        </w:rPr>
        <w:t>Prepared for Alain Ngwa Bumenang Consulting</w:t>
      </w:r>
    </w:p>
    <w:p w14:paraId="1EE64724" w14:textId="77777777" w:rsidR="000667C4" w:rsidRDefault="00000000">
      <w:pPr>
        <w:spacing w:after="600"/>
      </w:pPr>
      <w:r>
        <w:rPr>
          <w:color w:val="5F5E5A"/>
        </w:rPr>
        <w:t>Version 2.0 — proposal for review</w:t>
      </w:r>
    </w:p>
    <w:p w14:paraId="0343E5E1" w14:textId="77777777" w:rsidR="000667C4" w:rsidRDefault="000667C4">
      <w:pPr>
        <w:pBdr>
          <w:bottom w:val="single" w:sz="6" w:space="6" w:color="D0CFC9"/>
        </w:pBdr>
        <w:spacing w:before="200" w:after="200"/>
      </w:pPr>
    </w:p>
    <w:p w14:paraId="5ED6AC3F" w14:textId="77777777" w:rsidR="000667C4" w:rsidRDefault="00000000">
      <w:pPr>
        <w:pStyle w:val="Heading2"/>
      </w:pPr>
      <w:r>
        <w:t>About this document</w:t>
      </w:r>
    </w:p>
    <w:p w14:paraId="6C9ADFFA" w14:textId="77777777" w:rsidR="000667C4" w:rsidRDefault="00000000">
      <w:pPr>
        <w:spacing w:after="120"/>
      </w:pPr>
      <w:r>
        <w:rPr>
          <w:color w:val="1A1A1A"/>
        </w:rPr>
        <w:t>This document contains proposed case study content for the Selected Engagements section of the consulting website. It is offered as a starting point — language, framing, and emphasis are open to refinement based on your judgment and the design team's recommendations.</w:t>
      </w:r>
    </w:p>
    <w:p w14:paraId="0C8F6AAA" w14:textId="77777777" w:rsidR="000667C4" w:rsidRDefault="00000000">
      <w:pPr>
        <w:spacing w:after="120"/>
      </w:pPr>
      <w:r>
        <w:rPr>
          <w:color w:val="1A1A1A"/>
        </w:rPr>
        <w:t>A paired HTML mockup is provided as a visual proposal of how the content could be laid out. The mockup illustrates one possible structure; the design team is free to adapt or replace it entirely. Treat both files as proposals, not specifications.</w:t>
      </w:r>
    </w:p>
    <w:p w14:paraId="74FBC483" w14:textId="77777777" w:rsidR="000667C4" w:rsidRDefault="00000000">
      <w:pPr>
        <w:spacing w:after="120"/>
      </w:pPr>
      <w:r>
        <w:rPr>
          <w:color w:val="1A1A1A"/>
        </w:rPr>
        <w:t>Each case study follows the same five-part structure: Client context, Challenge, Approach, Outcomes, and Services &amp; Stack. The consistency is intentional — it allows prospects to scan multiple engagements in the same rhythm — but the structure itself is also open to discussion if the design team prefers a different approach.</w:t>
      </w:r>
    </w:p>
    <w:p w14:paraId="79AEBDBD" w14:textId="77777777" w:rsidR="000667C4" w:rsidRDefault="000667C4">
      <w:pPr>
        <w:spacing w:after="120"/>
      </w:pPr>
    </w:p>
    <w:p w14:paraId="3FB1E815" w14:textId="77777777" w:rsidR="000667C4" w:rsidRDefault="00000000">
      <w:pPr>
        <w:pStyle w:val="Heading3"/>
      </w:pPr>
      <w:r>
        <w:t>Client anonymization</w:t>
      </w:r>
    </w:p>
    <w:p w14:paraId="2721412D" w14:textId="77777777" w:rsidR="000667C4" w:rsidRDefault="00000000">
      <w:pPr>
        <w:spacing w:after="120"/>
      </w:pPr>
      <w:r>
        <w:rPr>
          <w:color w:val="1A1A1A"/>
        </w:rPr>
        <w:t xml:space="preserve">All five engagements are currently positioned as work with a "Global agribusiness" — the actual client being Cargill. If more apparent portfolio variety is desired later, some projects could plausibly be re-anchored to different anonymized client archetypes (e.g., </w:t>
      </w:r>
      <w:commentRangeStart w:id="0"/>
      <w:r>
        <w:rPr>
          <w:color w:val="1A1A1A"/>
        </w:rPr>
        <w:t>"Fortune 500 financial services firm" or "Mid-market manufacturer"</w:t>
      </w:r>
      <w:commentRangeEnd w:id="0"/>
      <w:r w:rsidR="00F07838">
        <w:rPr>
          <w:rStyle w:val="CommentReference"/>
          <w:color w:val="1A1A1A"/>
          <w:sz w:val="22"/>
          <w:szCs w:val="22"/>
        </w:rPr>
        <w:commentReference w:id="0"/>
      </w:r>
      <w:r>
        <w:rPr>
          <w:color w:val="1A1A1A"/>
        </w:rPr>
        <w:t>). This is a judgment call about portfolio positioning versus defensibility in sales conversations — flagged here so the decision can be made consciously.</w:t>
      </w:r>
    </w:p>
    <w:p w14:paraId="41CE2321" w14:textId="77777777" w:rsidR="000667C4" w:rsidRDefault="000667C4">
      <w:pPr>
        <w:pBdr>
          <w:bottom w:val="single" w:sz="6" w:space="6" w:color="D0CFC9"/>
        </w:pBdr>
        <w:spacing w:before="200" w:after="200"/>
      </w:pPr>
    </w:p>
    <w:p w14:paraId="1C268348" w14:textId="77777777" w:rsidR="000667C4" w:rsidRDefault="00000000">
      <w:pPr>
        <w:pStyle w:val="Heading2"/>
      </w:pPr>
      <w:r>
        <w:t>Suggested section intro paragraph</w:t>
      </w:r>
    </w:p>
    <w:p w14:paraId="0C870FEA" w14:textId="77777777" w:rsidR="000667C4" w:rsidRDefault="00000000">
      <w:pPr>
        <w:spacing w:after="120"/>
      </w:pPr>
      <w:r>
        <w:rPr>
          <w:color w:val="1A1A1A"/>
        </w:rPr>
        <w:t>The following paragraph is proposed as the intro sitting above the case study grid. It is offered as a starting point for the copywriter to refine.</w:t>
      </w:r>
    </w:p>
    <w:p w14:paraId="347A44AC" w14:textId="77777777" w:rsidR="000667C4" w:rsidRDefault="000667C4">
      <w:pPr>
        <w:spacing w:after="120"/>
      </w:pPr>
    </w:p>
    <w:p w14:paraId="51A94AF5" w14:textId="77777777" w:rsidR="000667C4" w:rsidRDefault="00000000">
      <w:pPr>
        <w:pBdr>
          <w:left w:val="single" w:sz="24" w:space="12" w:color="1E4E8C"/>
        </w:pBdr>
        <w:spacing w:before="120" w:after="240" w:line="360" w:lineRule="auto"/>
        <w:ind w:left="360" w:right="360"/>
      </w:pPr>
      <w:r>
        <w:rPr>
          <w:i/>
          <w:iCs/>
          <w:color w:val="1A1A1A"/>
          <w:sz w:val="24"/>
          <w:szCs w:val="24"/>
        </w:rPr>
        <w:t>We help enterprises turn cloud security risk into operating models that engineers run and executives trust. The engagements below illustrate how we work — from foundational AWS assessment and posture management to application-layer protection and data governance. Each project shows the assessment that started it, the gaps that mattered, the solution delivered, and the outcomes that followed.</w:t>
      </w:r>
    </w:p>
    <w:p w14:paraId="66AD75FD" w14:textId="77777777" w:rsidR="000667C4" w:rsidRDefault="000667C4">
      <w:pPr>
        <w:pBdr>
          <w:bottom w:val="single" w:sz="6" w:space="6" w:color="D0CFC9"/>
        </w:pBdr>
        <w:spacing w:before="200" w:after="200"/>
      </w:pPr>
    </w:p>
    <w:p w14:paraId="279454B6" w14:textId="77777777" w:rsidR="000667C4" w:rsidRDefault="00000000">
      <w:pPr>
        <w:pStyle w:val="Heading1"/>
        <w:pBdr>
          <w:bottom w:val="single" w:sz="6" w:space="6" w:color="1E4E8C"/>
        </w:pBdr>
      </w:pPr>
      <w:r>
        <w:t>Project 1 (Featured) — Enterprise AWS Security Assessment &amp; Control Baseline</w:t>
      </w:r>
    </w:p>
    <w:p w14:paraId="00828FE1" w14:textId="77777777" w:rsidR="000667C4" w:rsidRDefault="00000000">
      <w:pPr>
        <w:spacing w:before="240" w:after="80"/>
      </w:pPr>
      <w:r>
        <w:rPr>
          <w:b/>
          <w:bCs/>
          <w:color w:val="5F5E5A"/>
          <w:spacing w:val="30"/>
          <w:sz w:val="18"/>
          <w:szCs w:val="18"/>
        </w:rPr>
        <w:t>POSITION ON WEBSITE (OPTIONAL)</w:t>
      </w:r>
    </w:p>
    <w:p w14:paraId="2BD66256" w14:textId="77777777" w:rsidR="000667C4" w:rsidRDefault="00000000">
      <w:pPr>
        <w:spacing w:after="120"/>
      </w:pPr>
      <w:r>
        <w:rPr>
          <w:color w:val="1A1A1A"/>
        </w:rPr>
        <w:t>Proposed as the featured tile, full-width, top of the engagements section. This placement is suggested because the engagement represents the broadest, most senior-level advisory work — assessing an entire AWS security ecosystem and producing a maturity roadmap. The design team may prefer a different ordering.</w:t>
      </w:r>
    </w:p>
    <w:p w14:paraId="5A874E8A" w14:textId="77777777" w:rsidR="000667C4" w:rsidRDefault="00000000">
      <w:pPr>
        <w:spacing w:before="240" w:after="80"/>
      </w:pPr>
      <w:r>
        <w:rPr>
          <w:b/>
          <w:bCs/>
          <w:color w:val="5F5E5A"/>
          <w:spacing w:val="30"/>
          <w:sz w:val="18"/>
          <w:szCs w:val="18"/>
        </w:rPr>
        <w:t>CLIENT CONTEXT</w:t>
      </w:r>
    </w:p>
    <w:p w14:paraId="13DCEC8C" w14:textId="77777777" w:rsidR="000667C4" w:rsidRDefault="00000000">
      <w:pPr>
        <w:spacing w:after="120"/>
      </w:pPr>
      <w:r>
        <w:rPr>
          <w:color w:val="1A1A1A"/>
        </w:rPr>
        <w:t>Global agribusiness, multi-account AWS estate operating across business units, geographies, and regulated workloads. The organization had matured beyond cloud adoption into cloud consolidation and was pursuing audit-ready security posture across all environments.</w:t>
      </w:r>
    </w:p>
    <w:p w14:paraId="1D6B81F1" w14:textId="77777777" w:rsidR="000667C4" w:rsidRDefault="00000000">
      <w:pPr>
        <w:spacing w:before="240" w:after="80"/>
      </w:pPr>
      <w:r>
        <w:rPr>
          <w:b/>
          <w:bCs/>
          <w:color w:val="5F5E5A"/>
          <w:spacing w:val="30"/>
          <w:sz w:val="18"/>
          <w:szCs w:val="18"/>
        </w:rPr>
        <w:t>THE CHALLENGE</w:t>
      </w:r>
    </w:p>
    <w:p w14:paraId="4064AE2D" w14:textId="77777777" w:rsidR="000667C4" w:rsidRDefault="00000000">
      <w:pPr>
        <w:spacing w:after="120"/>
      </w:pPr>
      <w:r>
        <w:rPr>
          <w:color w:val="1A1A1A"/>
        </w:rPr>
        <w:t>The client had invested into security tooling — Wiz, Security Hub, GuardDuty, Inspector, Macie, Arctic Wolf, and others — but the security posture told a more complicated story. Coverage was inconsistent across accounts. New environments routinely launched without a defined baseline of controls. Ownership of the path from alert to remediation was unclear, with detection, triage, and response sitting in different teams that did not always agree on which findings mattered or who was responsible for closing them. Recurring findings exposed the deeper issue: the security program was reactive rather than preventive.</w:t>
      </w:r>
    </w:p>
    <w:p w14:paraId="717AD3F4" w14:textId="77777777" w:rsidR="000667C4" w:rsidRDefault="00000000">
      <w:pPr>
        <w:spacing w:after="120"/>
      </w:pPr>
      <w:r>
        <w:rPr>
          <w:color w:val="1A1A1A"/>
        </w:rPr>
        <w:t>Leadership needed a structured view of what the organization had, what was missing, and what mature looked like — not another tool deployment, but a roadmap.</w:t>
      </w:r>
    </w:p>
    <w:p w14:paraId="10222F28" w14:textId="77777777" w:rsidR="000667C4" w:rsidRDefault="00000000">
      <w:pPr>
        <w:spacing w:before="240" w:after="80"/>
      </w:pPr>
      <w:r>
        <w:rPr>
          <w:b/>
          <w:bCs/>
          <w:color w:val="5F5E5A"/>
          <w:spacing w:val="30"/>
          <w:sz w:val="18"/>
          <w:szCs w:val="18"/>
        </w:rPr>
        <w:t>APPROACH</w:t>
      </w:r>
    </w:p>
    <w:p w14:paraId="0A77BA39" w14:textId="77777777" w:rsidR="000667C4" w:rsidRDefault="00000000">
      <w:pPr>
        <w:spacing w:after="120"/>
      </w:pPr>
      <w:r>
        <w:rPr>
          <w:color w:val="1A1A1A"/>
        </w:rPr>
        <w:t>We led a full-scope AWS security assessment across four dimensions: prevention, detection, response, and governance. The assessment evaluated every existing security service for configuration consistency, account-level coverage, and integration with enterprise workflows. Controls were mapped to CIS, NIST, and CSA CCM to expose gaps against industry expectations.</w:t>
      </w:r>
    </w:p>
    <w:p w14:paraId="2E2FC206" w14:textId="77777777" w:rsidR="000667C4" w:rsidRDefault="00000000">
      <w:pPr>
        <w:spacing w:after="120"/>
      </w:pPr>
      <w:r>
        <w:rPr>
          <w:color w:val="1A1A1A"/>
        </w:rPr>
        <w:lastRenderedPageBreak/>
        <w:t>From the assessment, we designed a required security-service baseline for every AWS account — a defined minimum of controls that any new account had to meet before it could host production workloads. Preventive guardrails were implemented through AWS Control Tower and Service Control Policies so that risky configurations were blocked at the policy layer rather than caught post-deployment. Centralized logging was standardized into the enterprise SIEM, and detection-to-response workflows were redrawn with named owners, defined escalation paths, and clear remediation SLAs.</w:t>
      </w:r>
    </w:p>
    <w:p w14:paraId="7933252F" w14:textId="77777777" w:rsidR="000667C4" w:rsidRDefault="00000000">
      <w:pPr>
        <w:spacing w:after="120"/>
      </w:pPr>
      <w:r>
        <w:rPr>
          <w:color w:val="1A1A1A"/>
        </w:rPr>
        <w:t>The deliverable was a prioritized maturity roadmap: what to fix in the first 30 days, what to build in the first 90, and what to operationalize across the year.</w:t>
      </w:r>
    </w:p>
    <w:p w14:paraId="3A268771" w14:textId="77777777" w:rsidR="000667C4" w:rsidRDefault="00000000">
      <w:pPr>
        <w:spacing w:before="240" w:after="80"/>
      </w:pPr>
      <w:r>
        <w:rPr>
          <w:b/>
          <w:bCs/>
          <w:color w:val="5F5E5A"/>
          <w:spacing w:val="30"/>
          <w:sz w:val="18"/>
          <w:szCs w:val="18"/>
        </w:rPr>
        <w:t>OUTCOMES</w:t>
      </w:r>
    </w:p>
    <w:p w14:paraId="7326CE31" w14:textId="77777777" w:rsidR="000667C4" w:rsidRDefault="00000000">
      <w:pPr>
        <w:pStyle w:val="ListParagraph"/>
        <w:numPr>
          <w:ilvl w:val="0"/>
          <w:numId w:val="2"/>
        </w:numPr>
        <w:spacing w:after="80"/>
      </w:pPr>
      <w:r>
        <w:rPr>
          <w:color w:val="1A1A1A"/>
        </w:rPr>
        <w:t>Moved the organization from tool-based coverage to a structured cloud security operating model with clear ownership across prevention, detection, response, and governance.</w:t>
      </w:r>
    </w:p>
    <w:p w14:paraId="32C12D54" w14:textId="77777777" w:rsidR="000667C4" w:rsidRDefault="00000000">
      <w:pPr>
        <w:pStyle w:val="ListParagraph"/>
        <w:numPr>
          <w:ilvl w:val="0"/>
          <w:numId w:val="2"/>
        </w:numPr>
        <w:spacing w:after="80"/>
      </w:pPr>
      <w:r>
        <w:rPr>
          <w:color w:val="1A1A1A"/>
        </w:rPr>
        <w:t xml:space="preserve">Established a repeatable security baseline for new AWS account onboarding, reducing average time-to-secure-production-ready from </w:t>
      </w:r>
      <w:r>
        <w:rPr>
          <w:b/>
          <w:bCs/>
          <w:color w:val="1A1A1A"/>
        </w:rPr>
        <w:t>~3 weeks to days</w:t>
      </w:r>
      <w:r>
        <w:rPr>
          <w:color w:val="1A1A1A"/>
        </w:rPr>
        <w:t>.</w:t>
      </w:r>
    </w:p>
    <w:p w14:paraId="37F4CF5A" w14:textId="77777777" w:rsidR="000667C4" w:rsidRDefault="00000000">
      <w:pPr>
        <w:pStyle w:val="ListParagraph"/>
        <w:numPr>
          <w:ilvl w:val="0"/>
          <w:numId w:val="2"/>
        </w:numPr>
        <w:spacing w:after="80"/>
      </w:pPr>
      <w:r>
        <w:rPr>
          <w:color w:val="1A1A1A"/>
        </w:rPr>
        <w:t xml:space="preserve">Mapped </w:t>
      </w:r>
      <w:r>
        <w:rPr>
          <w:b/>
          <w:bCs/>
          <w:color w:val="1A1A1A"/>
        </w:rPr>
        <w:t>over 100 controls</w:t>
      </w:r>
      <w:r>
        <w:rPr>
          <w:color w:val="1A1A1A"/>
        </w:rPr>
        <w:t xml:space="preserve"> across CIS, NIST, and CSA CCM, producing an audit-ready evidence base.</w:t>
      </w:r>
    </w:p>
    <w:p w14:paraId="45C36F62" w14:textId="77777777" w:rsidR="000667C4" w:rsidRDefault="00000000">
      <w:pPr>
        <w:pStyle w:val="ListParagraph"/>
        <w:numPr>
          <w:ilvl w:val="0"/>
          <w:numId w:val="2"/>
        </w:numPr>
        <w:spacing w:after="80"/>
      </w:pPr>
      <w:r>
        <w:rPr>
          <w:color w:val="1A1A1A"/>
        </w:rPr>
        <w:t xml:space="preserve">Reduced recurring critical findings by an estimated </w:t>
      </w:r>
      <w:r>
        <w:rPr>
          <w:b/>
          <w:bCs/>
          <w:color w:val="1A1A1A"/>
        </w:rPr>
        <w:t>40–55%</w:t>
      </w:r>
      <w:r>
        <w:rPr>
          <w:color w:val="1A1A1A"/>
        </w:rPr>
        <w:t xml:space="preserve"> through preventive guardrails (SCPs, IaC policy enforcement) that blocked misconfigurations before deployment rather than catching them after.</w:t>
      </w:r>
    </w:p>
    <w:p w14:paraId="7594EB93" w14:textId="77777777" w:rsidR="000667C4" w:rsidRDefault="00000000">
      <w:pPr>
        <w:pStyle w:val="ListParagraph"/>
        <w:numPr>
          <w:ilvl w:val="0"/>
          <w:numId w:val="2"/>
        </w:numPr>
        <w:spacing w:after="80"/>
      </w:pPr>
      <w:r>
        <w:rPr>
          <w:color w:val="1A1A1A"/>
        </w:rPr>
        <w:t>Created executive-level reporting that translated cloud security posture into business risk language — adopted as the recurring format for quarterly security reviews.</w:t>
      </w:r>
    </w:p>
    <w:p w14:paraId="6D1E5299" w14:textId="77777777" w:rsidR="000667C4" w:rsidRDefault="00000000">
      <w:pPr>
        <w:pStyle w:val="ListParagraph"/>
        <w:numPr>
          <w:ilvl w:val="0"/>
          <w:numId w:val="2"/>
        </w:numPr>
        <w:spacing w:after="80"/>
      </w:pPr>
      <w:r>
        <w:rPr>
          <w:color w:val="1A1A1A"/>
        </w:rPr>
        <w:t xml:space="preserve">Estimated annual risk avoidance (audit findings, breach probability reduction, operational efficiency): </w:t>
      </w:r>
      <w:r>
        <w:rPr>
          <w:b/>
          <w:bCs/>
          <w:color w:val="1A1A1A"/>
        </w:rPr>
        <w:t>$500K – $1M</w:t>
      </w:r>
      <w:r>
        <w:rPr>
          <w:color w:val="1A1A1A"/>
        </w:rPr>
        <w:t>.</w:t>
      </w:r>
    </w:p>
    <w:p w14:paraId="3F539C83" w14:textId="77777777" w:rsidR="000667C4" w:rsidRDefault="00000000">
      <w:pPr>
        <w:spacing w:before="240" w:after="80"/>
      </w:pPr>
      <w:r>
        <w:rPr>
          <w:b/>
          <w:bCs/>
          <w:color w:val="5F5E5A"/>
          <w:spacing w:val="30"/>
          <w:sz w:val="18"/>
          <w:szCs w:val="18"/>
        </w:rPr>
        <w:t>SERVICES DELIVERED</w:t>
      </w:r>
    </w:p>
    <w:p w14:paraId="05A81AD8" w14:textId="77777777" w:rsidR="000667C4" w:rsidRDefault="00000000">
      <w:pPr>
        <w:spacing w:after="120"/>
      </w:pPr>
      <w:r>
        <w:rPr>
          <w:color w:val="1A1A1A"/>
        </w:rPr>
        <w:t>Security maturity assessment · Control baseline design · Guardrails &amp; policy-as-code · Governance model · Maturity roadmap · Executive reporting</w:t>
      </w:r>
    </w:p>
    <w:p w14:paraId="1D1A8E5D" w14:textId="77777777" w:rsidR="000667C4" w:rsidRDefault="00000000">
      <w:pPr>
        <w:spacing w:before="240" w:after="80"/>
      </w:pPr>
      <w:r>
        <w:rPr>
          <w:b/>
          <w:bCs/>
          <w:color w:val="5F5E5A"/>
          <w:spacing w:val="30"/>
          <w:sz w:val="18"/>
          <w:szCs w:val="18"/>
        </w:rPr>
        <w:t>STACK</w:t>
      </w:r>
    </w:p>
    <w:p w14:paraId="1ED43A9D" w14:textId="77777777" w:rsidR="000667C4" w:rsidRDefault="00000000">
      <w:pPr>
        <w:spacing w:after="120"/>
      </w:pPr>
      <w:r>
        <w:rPr>
          <w:color w:val="1A1A1A"/>
        </w:rPr>
        <w:t>AWS Control Tower, AWS Organizations, Service Control Policies, IAM Identity Center, Security Hub, GuardDuty, Inspector, Macie, IAM Access Analyzer, Systems Manager Patch Manager, Wiz CSPM/CNAPP, Terraform, ServiceNow</w:t>
      </w:r>
    </w:p>
    <w:p w14:paraId="4ED94EAF" w14:textId="77777777" w:rsidR="000667C4" w:rsidRDefault="000667C4">
      <w:pPr>
        <w:pBdr>
          <w:bottom w:val="single" w:sz="6" w:space="6" w:color="D0CFC9"/>
        </w:pBdr>
        <w:spacing w:before="200" w:after="200"/>
      </w:pPr>
    </w:p>
    <w:p w14:paraId="01AC6B84" w14:textId="77777777" w:rsidR="000667C4" w:rsidRDefault="00000000">
      <w:pPr>
        <w:pStyle w:val="Heading1"/>
        <w:pBdr>
          <w:bottom w:val="single" w:sz="6" w:space="6" w:color="1E4E8C"/>
        </w:pBdr>
      </w:pPr>
      <w:r>
        <w:t>Project 2 (Spotlight) — Data Security &amp; AI Governance Readiness</w:t>
      </w:r>
    </w:p>
    <w:p w14:paraId="4EA5558F" w14:textId="77777777" w:rsidR="000667C4" w:rsidRDefault="00000000">
      <w:pPr>
        <w:spacing w:before="240" w:after="80"/>
      </w:pPr>
      <w:r>
        <w:rPr>
          <w:b/>
          <w:bCs/>
          <w:color w:val="5F5E5A"/>
          <w:spacing w:val="30"/>
          <w:sz w:val="18"/>
          <w:szCs w:val="18"/>
        </w:rPr>
        <w:t>POSITION ON WEBSITE (OPTIONAL)</w:t>
      </w:r>
    </w:p>
    <w:p w14:paraId="37D0280B" w14:textId="77777777" w:rsidR="000667C4" w:rsidRDefault="00000000">
      <w:pPr>
        <w:spacing w:after="120"/>
      </w:pPr>
      <w:r>
        <w:rPr>
          <w:color w:val="1A1A1A"/>
        </w:rPr>
        <w:t>Proposed as the top-left card in the 2×2 supporting grid, with a "Spotlight" pill in teal to flag it for prospects asking about data governance, classification, and AI security — without giving up the strategic lead position. Placement is open to revision.</w:t>
      </w:r>
    </w:p>
    <w:p w14:paraId="479CF75A" w14:textId="77777777" w:rsidR="000667C4" w:rsidRDefault="00000000">
      <w:pPr>
        <w:spacing w:before="240" w:after="80"/>
      </w:pPr>
      <w:r>
        <w:rPr>
          <w:b/>
          <w:bCs/>
          <w:color w:val="5F5E5A"/>
          <w:spacing w:val="30"/>
          <w:sz w:val="18"/>
          <w:szCs w:val="18"/>
        </w:rPr>
        <w:lastRenderedPageBreak/>
        <w:t>CLIENT CONTEXT</w:t>
      </w:r>
    </w:p>
    <w:p w14:paraId="6BCA0ADD" w14:textId="77777777" w:rsidR="000667C4" w:rsidRDefault="00000000">
      <w:pPr>
        <w:spacing w:after="120"/>
      </w:pPr>
      <w:r>
        <w:rPr>
          <w:color w:val="1A1A1A"/>
        </w:rPr>
        <w:t>Global agribusiness, with a sprawling AWS estate of 112 production and non-production accounts. The organization was rapidly adopting AI tooling — both managed services (Bedrock, SageMaker) and third-party AI platforms — while sensitive data continued to accumulate across S3, RDS, Aurora, and managed data services.</w:t>
      </w:r>
    </w:p>
    <w:p w14:paraId="410FB1F4" w14:textId="77777777" w:rsidR="000667C4" w:rsidRDefault="00000000">
      <w:pPr>
        <w:spacing w:before="240" w:after="80"/>
      </w:pPr>
      <w:r>
        <w:rPr>
          <w:b/>
          <w:bCs/>
          <w:color w:val="5F5E5A"/>
          <w:spacing w:val="30"/>
          <w:sz w:val="18"/>
          <w:szCs w:val="18"/>
        </w:rPr>
        <w:t>THE CHALLENGE</w:t>
      </w:r>
    </w:p>
    <w:p w14:paraId="122AA640" w14:textId="77777777" w:rsidR="000667C4" w:rsidRDefault="00000000">
      <w:pPr>
        <w:spacing w:after="120"/>
      </w:pPr>
      <w:commentRangeStart w:id="1"/>
      <w:r>
        <w:rPr>
          <w:color w:val="1A1A1A"/>
        </w:rPr>
        <w:t>Data governance was running multiple steps behind AI adoption. Sensitive data — customer records, supplier financials, regulated information — was distributed across the AWS estate with no unified picture of where it lived, who could access it, or whether it was encrypted to standard. AI usage compounded the problem: development teams were experimenting with LLM endpoints and embedding sensitive data into prompts without clear policy guidance. Plaintext secrets in code repositories, unauthenticated AI endpoints, and weak access controls on managed AI services were surfacing as one-off incidents rather than being caught by systemic controls.</w:t>
      </w:r>
    </w:p>
    <w:p w14:paraId="0938991B" w14:textId="77777777" w:rsidR="000667C4" w:rsidRDefault="00000000">
      <w:pPr>
        <w:spacing w:after="120"/>
      </w:pPr>
      <w:r>
        <w:rPr>
          <w:color w:val="1A1A1A"/>
        </w:rPr>
        <w:t>Leadership needed three things: a quantified view of data and AI exposure, a prioritized remediation roadmap, and the foundation of a governance model that could keep pace with AI adoption.</w:t>
      </w:r>
      <w:commentRangeEnd w:id="1"/>
      <w:r w:rsidR="00102CFF">
        <w:rPr>
          <w:rStyle w:val="CommentReference"/>
          <w:sz w:val="22"/>
          <w:szCs w:val="22"/>
        </w:rPr>
        <w:commentReference w:id="1"/>
      </w:r>
    </w:p>
    <w:p w14:paraId="5B564898" w14:textId="77777777" w:rsidR="000667C4" w:rsidRDefault="00000000">
      <w:pPr>
        <w:spacing w:before="240" w:after="80"/>
      </w:pPr>
      <w:r>
        <w:rPr>
          <w:b/>
          <w:bCs/>
          <w:color w:val="5F5E5A"/>
          <w:spacing w:val="30"/>
          <w:sz w:val="18"/>
          <w:szCs w:val="18"/>
        </w:rPr>
        <w:t>APPROACH</w:t>
      </w:r>
    </w:p>
    <w:p w14:paraId="182BDA5E" w14:textId="77777777" w:rsidR="000667C4" w:rsidRDefault="00000000">
      <w:pPr>
        <w:spacing w:after="120"/>
      </w:pPr>
      <w:r>
        <w:rPr>
          <w:color w:val="1A1A1A"/>
        </w:rPr>
        <w:t>We drove a sensitive-data and AI-exposure assessment across all 112 AWS accounts, using Wiz CNAPP for discovery and combining its findings with manual review of high-risk services. The assessment surfaced ~50 distinct security issues, including ~25 Critical-severity findings — plaintext secrets in repositories, exposed sensitive data in misconfigured S3 buckets, unauthenticated AI endpoints, missing agent-level controls on AI services, and over-permissive IAM roles attached to AI workloads.</w:t>
      </w:r>
    </w:p>
    <w:p w14:paraId="6565183F" w14:textId="77777777" w:rsidR="000667C4" w:rsidRDefault="00000000">
      <w:pPr>
        <w:spacing w:after="120"/>
      </w:pPr>
      <w:r>
        <w:rPr>
          <w:color w:val="1A1A1A"/>
        </w:rPr>
        <w:t>On the findings foundation, we proposed a data security readiness model in five layers: discovery (find sensitive data continuously, not just at audit time), classification (a four-tier scheme — public, internal, confidential, restricted — mapped to regulatory categories where applicable), storage governance (S3, database, and backup posture standards), access control validation (IAM, bucket policies, and least-privilege review), and AI/GenAI usage guardrails (acceptable-use policy, prompt scrubbing, endpoint authentication standards).</w:t>
      </w:r>
    </w:p>
    <w:p w14:paraId="72600964" w14:textId="77777777" w:rsidR="000667C4" w:rsidRDefault="00000000">
      <w:pPr>
        <w:spacing w:after="120"/>
      </w:pPr>
      <w:r>
        <w:rPr>
          <w:color w:val="1A1A1A"/>
        </w:rPr>
        <w:t>Executive reporting was designed to translate the findings into business language — exposure by data type, by business unit, and by remediation status — so leadership could make informed prioritization decisions.</w:t>
      </w:r>
    </w:p>
    <w:p w14:paraId="69553FBB" w14:textId="77777777" w:rsidR="000667C4" w:rsidRDefault="00000000">
      <w:pPr>
        <w:spacing w:before="240" w:after="80"/>
      </w:pPr>
      <w:r>
        <w:rPr>
          <w:b/>
          <w:bCs/>
          <w:color w:val="5F5E5A"/>
          <w:spacing w:val="30"/>
          <w:sz w:val="18"/>
          <w:szCs w:val="18"/>
        </w:rPr>
        <w:t>OUTCOMES</w:t>
      </w:r>
    </w:p>
    <w:p w14:paraId="067AD343" w14:textId="77777777" w:rsidR="000667C4" w:rsidRDefault="00000000">
      <w:pPr>
        <w:pStyle w:val="ListParagraph"/>
        <w:numPr>
          <w:ilvl w:val="0"/>
          <w:numId w:val="2"/>
        </w:numPr>
        <w:spacing w:after="80"/>
      </w:pPr>
      <w:r>
        <w:rPr>
          <w:color w:val="1A1A1A"/>
        </w:rPr>
        <w:t xml:space="preserve">Quantified data and AI exposure across the full AWS estate for the first time — </w:t>
      </w:r>
      <w:r>
        <w:rPr>
          <w:b/>
          <w:bCs/>
          <w:color w:val="1A1A1A"/>
        </w:rPr>
        <w:t>112 AWS accounts assessed, ~50 issues surfaced, ~25 Critical-severity findings</w:t>
      </w:r>
      <w:r>
        <w:rPr>
          <w:color w:val="1A1A1A"/>
        </w:rPr>
        <w:t xml:space="preserve"> documented with named owners.</w:t>
      </w:r>
    </w:p>
    <w:p w14:paraId="31075B27" w14:textId="77777777" w:rsidR="000667C4" w:rsidRDefault="00000000">
      <w:pPr>
        <w:pStyle w:val="ListParagraph"/>
        <w:numPr>
          <w:ilvl w:val="0"/>
          <w:numId w:val="2"/>
        </w:numPr>
        <w:spacing w:after="80"/>
      </w:pPr>
      <w:r>
        <w:rPr>
          <w:color w:val="1A1A1A"/>
        </w:rPr>
        <w:t xml:space="preserve">Reduced exposed plaintext secrets in code repositories by an estimated </w:t>
      </w:r>
      <w:r>
        <w:rPr>
          <w:b/>
          <w:bCs/>
          <w:color w:val="1A1A1A"/>
        </w:rPr>
        <w:t>85% within 90 days</w:t>
      </w:r>
      <w:r>
        <w:rPr>
          <w:color w:val="1A1A1A"/>
        </w:rPr>
        <w:t xml:space="preserve"> through prioritized remediation and secret-scanning integration in CI/CD pipelines.</w:t>
      </w:r>
    </w:p>
    <w:p w14:paraId="0240A849" w14:textId="77777777" w:rsidR="000667C4" w:rsidRDefault="00000000">
      <w:pPr>
        <w:pStyle w:val="ListParagraph"/>
        <w:numPr>
          <w:ilvl w:val="0"/>
          <w:numId w:val="2"/>
        </w:numPr>
        <w:spacing w:after="80"/>
      </w:pPr>
      <w:r>
        <w:rPr>
          <w:color w:val="1A1A1A"/>
        </w:rPr>
        <w:t xml:space="preserve">Established the first enterprise data classification scheme adopted across </w:t>
      </w:r>
      <w:r>
        <w:rPr>
          <w:b/>
          <w:bCs/>
          <w:color w:val="1A1A1A"/>
        </w:rPr>
        <w:t>six business units</w:t>
      </w:r>
      <w:r>
        <w:rPr>
          <w:color w:val="1A1A1A"/>
        </w:rPr>
        <w:t>, creating a shared vocabulary for data risk conversations between security, legal, and engineering.</w:t>
      </w:r>
    </w:p>
    <w:p w14:paraId="0584A614" w14:textId="77777777" w:rsidR="000667C4" w:rsidRDefault="00000000">
      <w:pPr>
        <w:pStyle w:val="ListParagraph"/>
        <w:numPr>
          <w:ilvl w:val="0"/>
          <w:numId w:val="2"/>
        </w:numPr>
        <w:spacing w:after="80"/>
      </w:pPr>
      <w:r>
        <w:rPr>
          <w:color w:val="1A1A1A"/>
        </w:rPr>
        <w:t>Defined the AI usage guardrail policy that became the basis for the organization's AI acceptable-use standard — adopted ahead of an enterprise rollout of generative AI tooling.</w:t>
      </w:r>
    </w:p>
    <w:p w14:paraId="4CE41187" w14:textId="77777777" w:rsidR="000667C4" w:rsidRDefault="00000000">
      <w:pPr>
        <w:pStyle w:val="ListParagraph"/>
        <w:numPr>
          <w:ilvl w:val="0"/>
          <w:numId w:val="2"/>
        </w:numPr>
        <w:spacing w:after="80"/>
      </w:pPr>
      <w:r>
        <w:rPr>
          <w:color w:val="1A1A1A"/>
        </w:rPr>
        <w:lastRenderedPageBreak/>
        <w:t xml:space="preserve">Leadership-ready dashboards mapping data exposure to business unit and regulatory category, reviewed </w:t>
      </w:r>
      <w:r>
        <w:rPr>
          <w:b/>
          <w:bCs/>
          <w:color w:val="1A1A1A"/>
        </w:rPr>
        <w:t>monthly</w:t>
      </w:r>
      <w:r>
        <w:rPr>
          <w:color w:val="1A1A1A"/>
        </w:rPr>
        <w:t xml:space="preserve"> by the CISO and quarterly by the executive risk committee.</w:t>
      </w:r>
    </w:p>
    <w:p w14:paraId="648144B8" w14:textId="77777777" w:rsidR="000667C4" w:rsidRDefault="00000000">
      <w:pPr>
        <w:spacing w:before="240" w:after="80"/>
      </w:pPr>
      <w:r>
        <w:rPr>
          <w:b/>
          <w:bCs/>
          <w:color w:val="5F5E5A"/>
          <w:spacing w:val="30"/>
          <w:sz w:val="18"/>
          <w:szCs w:val="18"/>
        </w:rPr>
        <w:t>SERVICES DELIVERED</w:t>
      </w:r>
    </w:p>
    <w:p w14:paraId="4E362BD9" w14:textId="77777777" w:rsidR="000667C4" w:rsidRDefault="00000000">
      <w:pPr>
        <w:spacing w:after="120"/>
      </w:pPr>
      <w:r>
        <w:rPr>
          <w:color w:val="1A1A1A"/>
        </w:rPr>
        <w:t>Sensitive data discovery · Data classification scheme · AI governance design · Access control validation · Executive risk reporting</w:t>
      </w:r>
    </w:p>
    <w:p w14:paraId="0F3CF7FB" w14:textId="77777777" w:rsidR="000667C4" w:rsidRDefault="00000000">
      <w:pPr>
        <w:spacing w:before="240" w:after="80"/>
      </w:pPr>
      <w:r>
        <w:rPr>
          <w:b/>
          <w:bCs/>
          <w:color w:val="5F5E5A"/>
          <w:spacing w:val="30"/>
          <w:sz w:val="18"/>
          <w:szCs w:val="18"/>
        </w:rPr>
        <w:t>STACK</w:t>
      </w:r>
    </w:p>
    <w:p w14:paraId="31020AFC" w14:textId="77777777" w:rsidR="000667C4" w:rsidRDefault="00000000">
      <w:pPr>
        <w:spacing w:after="120"/>
      </w:pPr>
      <w:r>
        <w:rPr>
          <w:color w:val="1A1A1A"/>
        </w:rPr>
        <w:t>Wiz CNAPP, AWS Macie, AWS KMS, IAM Access Analyzer, S3, RDS/Aurora, AWS Bedrock, SageMaker, Athena</w:t>
      </w:r>
    </w:p>
    <w:p w14:paraId="366C453B" w14:textId="77777777" w:rsidR="000667C4" w:rsidRDefault="000667C4">
      <w:pPr>
        <w:pBdr>
          <w:bottom w:val="single" w:sz="6" w:space="6" w:color="D0CFC9"/>
        </w:pBdr>
        <w:spacing w:before="200" w:after="200"/>
      </w:pPr>
    </w:p>
    <w:p w14:paraId="72A8C08C" w14:textId="77777777" w:rsidR="000667C4" w:rsidRDefault="00000000">
      <w:pPr>
        <w:pStyle w:val="Heading1"/>
        <w:pBdr>
          <w:bottom w:val="single" w:sz="6" w:space="6" w:color="1E4E8C"/>
        </w:pBdr>
      </w:pPr>
      <w:r>
        <w:t>Project 3 — Enterprise CSPM Remediation Program</w:t>
      </w:r>
    </w:p>
    <w:p w14:paraId="4EEFAC13" w14:textId="77777777" w:rsidR="000667C4" w:rsidRDefault="00000000">
      <w:pPr>
        <w:spacing w:before="240" w:after="80"/>
      </w:pPr>
      <w:r>
        <w:rPr>
          <w:b/>
          <w:bCs/>
          <w:color w:val="5F5E5A"/>
          <w:spacing w:val="30"/>
          <w:sz w:val="18"/>
          <w:szCs w:val="18"/>
        </w:rPr>
        <w:t>POSITION ON WEBSITE (OPTIONAL)</w:t>
      </w:r>
    </w:p>
    <w:p w14:paraId="5BA9406C" w14:textId="77777777" w:rsidR="000667C4" w:rsidRDefault="00000000">
      <w:pPr>
        <w:spacing w:after="120"/>
      </w:pPr>
      <w:r>
        <w:rPr>
          <w:color w:val="1A1A1A"/>
        </w:rPr>
        <w:t>Proposed as the top-right card in the 2×2 supporting grid. Suggested accent color: amber. Open to revision.</w:t>
      </w:r>
    </w:p>
    <w:p w14:paraId="0719622E" w14:textId="77777777" w:rsidR="000667C4" w:rsidRDefault="00000000">
      <w:pPr>
        <w:spacing w:before="240" w:after="80"/>
      </w:pPr>
      <w:r>
        <w:rPr>
          <w:b/>
          <w:bCs/>
          <w:color w:val="5F5E5A"/>
          <w:spacing w:val="30"/>
          <w:sz w:val="18"/>
          <w:szCs w:val="18"/>
        </w:rPr>
        <w:t>CLIENT CONTEXT</w:t>
      </w:r>
    </w:p>
    <w:p w14:paraId="73D8243F" w14:textId="77777777" w:rsidR="000667C4" w:rsidRDefault="00000000">
      <w:pPr>
        <w:spacing w:after="120"/>
      </w:pPr>
      <w:r>
        <w:rPr>
          <w:color w:val="1A1A1A"/>
        </w:rPr>
        <w:t>Global agribusiness, multi-cloud environment with Wiz CSPM/CNAPP deployed across AWS and Azure. The organization had mature cloud security visibility but inconsistent remediation execution.</w:t>
      </w:r>
    </w:p>
    <w:p w14:paraId="45F3852A" w14:textId="77777777" w:rsidR="000667C4" w:rsidRDefault="00000000">
      <w:pPr>
        <w:spacing w:before="240" w:after="80"/>
      </w:pPr>
      <w:r>
        <w:rPr>
          <w:b/>
          <w:bCs/>
          <w:color w:val="5F5E5A"/>
          <w:spacing w:val="30"/>
          <w:sz w:val="18"/>
          <w:szCs w:val="18"/>
        </w:rPr>
        <w:t>THE CHALLENGE</w:t>
      </w:r>
    </w:p>
    <w:p w14:paraId="2A4874E6" w14:textId="77777777" w:rsidR="000667C4" w:rsidRDefault="00000000">
      <w:pPr>
        <w:spacing w:after="120"/>
      </w:pPr>
      <w:r>
        <w:rPr>
          <w:color w:val="1A1A1A"/>
        </w:rPr>
        <w:t>Visibility had outpaced remediation capacity. Wiz was generating findings faster than teams could close them, and the central cloud security team had become a bottleneck — every interpretation, every prioritization call, and every remediation guidance request routed through them. Engineering teams treated Wiz findings as a queue of vague tasks rather than actionable work, and the same misconfigurations kept reappearing because remediation was happening in production rather than in infrastructure-as-code.</w:t>
      </w:r>
    </w:p>
    <w:p w14:paraId="38B970D3" w14:textId="77777777" w:rsidR="000667C4" w:rsidRDefault="00000000">
      <w:pPr>
        <w:spacing w:after="120"/>
      </w:pPr>
      <w:r>
        <w:rPr>
          <w:color w:val="1A1A1A"/>
        </w:rPr>
        <w:t>Exceptions were the third problem. Temporary exceptions had quietly become permanent because there was no expiry mechanism, no owner of record, and no review cadence. Audit readiness was slipping not because controls were missing but because the exception ledger had grown unmanageable.</w:t>
      </w:r>
    </w:p>
    <w:p w14:paraId="3D2A1D41" w14:textId="77777777" w:rsidR="000667C4" w:rsidRDefault="00000000">
      <w:pPr>
        <w:spacing w:before="240" w:after="80"/>
      </w:pPr>
      <w:r>
        <w:rPr>
          <w:b/>
          <w:bCs/>
          <w:color w:val="5F5E5A"/>
          <w:spacing w:val="30"/>
          <w:sz w:val="18"/>
          <w:szCs w:val="18"/>
        </w:rPr>
        <w:t>APPROACH</w:t>
      </w:r>
    </w:p>
    <w:p w14:paraId="13B10ED9" w14:textId="77777777" w:rsidR="000667C4" w:rsidRDefault="00000000">
      <w:pPr>
        <w:spacing w:after="120"/>
      </w:pPr>
      <w:r>
        <w:rPr>
          <w:color w:val="1A1A1A"/>
        </w:rPr>
        <w:t>We rebuilt remediation as an operating model rather than a ticket queue. Risk-based prioritization replaced severity-only triage: each finding was scored on severity, exposure (internet-facing vs. internal), asset criticality (production vs. sandbox), and toxic-combination logic (e.g., publicly exposed storage + sensitive data + weak encryption). Engineering teams received findings already ranked, with clear ownership.</w:t>
      </w:r>
    </w:p>
    <w:p w14:paraId="0A935235" w14:textId="77777777" w:rsidR="000667C4" w:rsidRDefault="00000000">
      <w:pPr>
        <w:spacing w:after="120"/>
      </w:pPr>
      <w:r>
        <w:rPr>
          <w:color w:val="1A1A1A"/>
        </w:rPr>
        <w:t>Master remediation runbooks were authored for the highest-volume finding types, written in engineering-friendly language with concrete steps and IaC examples. Partner-authored runbooks were reviewed for executability before being added to the library. A time-bound exception workflow replaced the ad-hoc approach — every exception now required business justification, an expiry date, a named owner, and risk acceptance from an appropriate authority.</w:t>
      </w:r>
    </w:p>
    <w:p w14:paraId="50C577A5" w14:textId="77777777" w:rsidR="000667C4" w:rsidRDefault="00000000">
      <w:pPr>
        <w:spacing w:after="120"/>
      </w:pPr>
      <w:r>
        <w:rPr>
          <w:color w:val="1A1A1A"/>
        </w:rPr>
        <w:lastRenderedPageBreak/>
        <w:t>Prevention was shifted left through Wiz IaC scanning integrated into the CI/CD pipeline. Misconfigurations were caught at pull request time, where they cost minutes to fix, rather than after deployment where they cost ticket cycles.</w:t>
      </w:r>
    </w:p>
    <w:p w14:paraId="428BDE37" w14:textId="77777777" w:rsidR="000667C4" w:rsidRDefault="00000000">
      <w:pPr>
        <w:spacing w:before="240" w:after="80"/>
      </w:pPr>
      <w:r>
        <w:rPr>
          <w:b/>
          <w:bCs/>
          <w:color w:val="5F5E5A"/>
          <w:spacing w:val="30"/>
          <w:sz w:val="18"/>
          <w:szCs w:val="18"/>
        </w:rPr>
        <w:t>OUTCOMES</w:t>
      </w:r>
    </w:p>
    <w:p w14:paraId="0AD8C5B1" w14:textId="77777777" w:rsidR="000667C4" w:rsidRDefault="00000000">
      <w:pPr>
        <w:pStyle w:val="ListParagraph"/>
        <w:numPr>
          <w:ilvl w:val="0"/>
          <w:numId w:val="2"/>
        </w:numPr>
        <w:spacing w:after="80"/>
      </w:pPr>
      <w:r>
        <w:rPr>
          <w:color w:val="1A1A1A"/>
        </w:rPr>
        <w:t xml:space="preserve">Reduced repeat findings (the same misconfiguration recurring after closure) by an estimated </w:t>
      </w:r>
      <w:r>
        <w:rPr>
          <w:b/>
          <w:bCs/>
          <w:color w:val="1A1A1A"/>
        </w:rPr>
        <w:t>60–70%</w:t>
      </w:r>
      <w:r>
        <w:rPr>
          <w:color w:val="1A1A1A"/>
        </w:rPr>
        <w:t xml:space="preserve"> through IaC-stage prevention and remediation-at-source.</w:t>
      </w:r>
    </w:p>
    <w:p w14:paraId="3924C562" w14:textId="77777777" w:rsidR="000667C4" w:rsidRDefault="00000000">
      <w:pPr>
        <w:pStyle w:val="ListParagraph"/>
        <w:numPr>
          <w:ilvl w:val="0"/>
          <w:numId w:val="2"/>
        </w:numPr>
        <w:spacing w:after="80"/>
      </w:pPr>
      <w:r>
        <w:rPr>
          <w:color w:val="1A1A1A"/>
        </w:rPr>
        <w:t xml:space="preserve">Reduced central cloud security team escalations on routine findings by </w:t>
      </w:r>
      <w:r>
        <w:rPr>
          <w:b/>
          <w:bCs/>
          <w:color w:val="1A1A1A"/>
        </w:rPr>
        <w:t>approximately 45%</w:t>
      </w:r>
      <w:r>
        <w:rPr>
          <w:color w:val="1A1A1A"/>
        </w:rPr>
        <w:t>, freeing senior engineers for higher-value work.</w:t>
      </w:r>
    </w:p>
    <w:p w14:paraId="52B50F47" w14:textId="77777777" w:rsidR="000667C4" w:rsidRDefault="00000000">
      <w:pPr>
        <w:pStyle w:val="ListParagraph"/>
        <w:numPr>
          <w:ilvl w:val="0"/>
          <w:numId w:val="2"/>
        </w:numPr>
        <w:spacing w:after="80"/>
      </w:pPr>
      <w:r>
        <w:rPr>
          <w:color w:val="1A1A1A"/>
        </w:rPr>
        <w:t xml:space="preserve">Eliminated the "permanent temporary" exception problem — every exception now has expiry, ownership, and a quarterly review cadence. Open exception count reduced from </w:t>
      </w:r>
      <w:r>
        <w:rPr>
          <w:b/>
          <w:bCs/>
          <w:color w:val="1A1A1A"/>
        </w:rPr>
        <w:t>over 180 to under 60</w:t>
      </w:r>
      <w:r>
        <w:rPr>
          <w:color w:val="1A1A1A"/>
        </w:rPr>
        <w:t xml:space="preserve"> within the first two quarters of the program.</w:t>
      </w:r>
    </w:p>
    <w:p w14:paraId="0717E5FF" w14:textId="77777777" w:rsidR="000667C4" w:rsidRDefault="00000000">
      <w:pPr>
        <w:pStyle w:val="ListParagraph"/>
        <w:numPr>
          <w:ilvl w:val="0"/>
          <w:numId w:val="2"/>
        </w:numPr>
        <w:spacing w:after="80"/>
      </w:pPr>
      <w:r>
        <w:rPr>
          <w:color w:val="1A1A1A"/>
        </w:rPr>
        <w:t>Self-service remediation guidance adopted by application and platform teams, mapped to CIS, NIST, and CSA CCM controls — enabling audit evidence to be assembled in days rather than weeks.</w:t>
      </w:r>
    </w:p>
    <w:p w14:paraId="3ADF1AE3" w14:textId="77777777" w:rsidR="000667C4" w:rsidRDefault="00000000">
      <w:pPr>
        <w:pStyle w:val="ListParagraph"/>
        <w:numPr>
          <w:ilvl w:val="0"/>
          <w:numId w:val="2"/>
        </w:numPr>
        <w:spacing w:after="80"/>
      </w:pPr>
      <w:r>
        <w:rPr>
          <w:color w:val="1A1A1A"/>
        </w:rPr>
        <w:t>Established the foundation for measurable, repeatable audit readiness across cloud accounts.</w:t>
      </w:r>
    </w:p>
    <w:p w14:paraId="1C175999" w14:textId="77777777" w:rsidR="000667C4" w:rsidRDefault="00000000">
      <w:pPr>
        <w:spacing w:before="240" w:after="80"/>
      </w:pPr>
      <w:r>
        <w:rPr>
          <w:b/>
          <w:bCs/>
          <w:color w:val="5F5E5A"/>
          <w:spacing w:val="30"/>
          <w:sz w:val="18"/>
          <w:szCs w:val="18"/>
        </w:rPr>
        <w:t>SERVICES DELIVERED</w:t>
      </w:r>
    </w:p>
    <w:p w14:paraId="46D501F9" w14:textId="77777777" w:rsidR="000667C4" w:rsidRDefault="00000000">
      <w:pPr>
        <w:spacing w:after="120"/>
      </w:pPr>
      <w:r>
        <w:rPr>
          <w:color w:val="1A1A1A"/>
        </w:rPr>
        <w:t>CSPM operating model · Risk-based prioritization · Runbook design · Exception governance · Shift-left IaC integration</w:t>
      </w:r>
    </w:p>
    <w:p w14:paraId="74B97A8E" w14:textId="77777777" w:rsidR="000667C4" w:rsidRDefault="00000000">
      <w:pPr>
        <w:spacing w:before="240" w:after="80"/>
      </w:pPr>
      <w:r>
        <w:rPr>
          <w:b/>
          <w:bCs/>
          <w:color w:val="5F5E5A"/>
          <w:spacing w:val="30"/>
          <w:sz w:val="18"/>
          <w:szCs w:val="18"/>
        </w:rPr>
        <w:t>STACK</w:t>
      </w:r>
    </w:p>
    <w:p w14:paraId="0A9F9645" w14:textId="77777777" w:rsidR="000667C4" w:rsidRDefault="00000000">
      <w:pPr>
        <w:spacing w:after="120"/>
      </w:pPr>
      <w:r>
        <w:rPr>
          <w:color w:val="1A1A1A"/>
        </w:rPr>
        <w:t>Wiz CSPM, Wiz CNAPP, Wiz IaC, Wiz Mika AI, AWS, Terraform, ServiceNow</w:t>
      </w:r>
    </w:p>
    <w:p w14:paraId="27549223" w14:textId="77777777" w:rsidR="000667C4" w:rsidRDefault="000667C4">
      <w:pPr>
        <w:pBdr>
          <w:bottom w:val="single" w:sz="6" w:space="6" w:color="D0CFC9"/>
        </w:pBdr>
        <w:spacing w:before="200" w:after="200"/>
      </w:pPr>
    </w:p>
    <w:p w14:paraId="7276FD9D" w14:textId="77777777" w:rsidR="000667C4" w:rsidRDefault="00000000">
      <w:pPr>
        <w:pStyle w:val="Heading1"/>
        <w:pBdr>
          <w:bottom w:val="single" w:sz="6" w:space="6" w:color="1E4E8C"/>
        </w:pBdr>
      </w:pPr>
      <w:r>
        <w:t>Project 4 — Cloudflare Edge Security Pattern for Public-Facing Applications</w:t>
      </w:r>
    </w:p>
    <w:p w14:paraId="59EC5304" w14:textId="77777777" w:rsidR="000667C4" w:rsidRDefault="00000000">
      <w:pPr>
        <w:spacing w:before="240" w:after="80"/>
      </w:pPr>
      <w:r>
        <w:rPr>
          <w:b/>
          <w:bCs/>
          <w:color w:val="5F5E5A"/>
          <w:spacing w:val="30"/>
          <w:sz w:val="18"/>
          <w:szCs w:val="18"/>
        </w:rPr>
        <w:t>POSITION ON WEBSITE (OPTIONAL)</w:t>
      </w:r>
    </w:p>
    <w:p w14:paraId="5A399858" w14:textId="77777777" w:rsidR="000667C4" w:rsidRDefault="00000000">
      <w:pPr>
        <w:spacing w:after="120"/>
      </w:pPr>
      <w:r>
        <w:rPr>
          <w:color w:val="1A1A1A"/>
        </w:rPr>
        <w:t>Proposed as the bottom-left card in the 2×2 supporting grid. Suggested accent color: purple. Open to revision.</w:t>
      </w:r>
    </w:p>
    <w:p w14:paraId="6E964447" w14:textId="77777777" w:rsidR="000667C4" w:rsidRDefault="00000000">
      <w:pPr>
        <w:spacing w:before="240" w:after="80"/>
      </w:pPr>
      <w:r>
        <w:rPr>
          <w:b/>
          <w:bCs/>
          <w:color w:val="5F5E5A"/>
          <w:spacing w:val="30"/>
          <w:sz w:val="18"/>
          <w:szCs w:val="18"/>
        </w:rPr>
        <w:t>CLIENT CONTEXT</w:t>
      </w:r>
    </w:p>
    <w:p w14:paraId="15C64F9B" w14:textId="77777777" w:rsidR="000667C4" w:rsidRDefault="00000000">
      <w:pPr>
        <w:spacing w:after="120"/>
      </w:pPr>
      <w:r>
        <w:rPr>
          <w:color w:val="1A1A1A"/>
        </w:rPr>
        <w:t>Global agribusiness, with a growing portfolio of public-facing applications — customer portals, supplier interfaces, regulatory submission tools — hosted on AWS behind various combinations of CloudFront, ALB, and direct internet exposure.</w:t>
      </w:r>
    </w:p>
    <w:p w14:paraId="73E8B1DD" w14:textId="77777777" w:rsidR="000667C4" w:rsidRDefault="00000000">
      <w:pPr>
        <w:spacing w:before="240" w:after="80"/>
      </w:pPr>
      <w:r>
        <w:rPr>
          <w:b/>
          <w:bCs/>
          <w:color w:val="5F5E5A"/>
          <w:spacing w:val="30"/>
          <w:sz w:val="18"/>
          <w:szCs w:val="18"/>
        </w:rPr>
        <w:t>THE CHALLENGE</w:t>
      </w:r>
    </w:p>
    <w:p w14:paraId="40FC7335" w14:textId="77777777" w:rsidR="000667C4" w:rsidRDefault="00000000">
      <w:pPr>
        <w:spacing w:after="120"/>
      </w:pPr>
      <w:r>
        <w:rPr>
          <w:color w:val="1A1A1A"/>
        </w:rPr>
        <w:t>Every public application onboarding was solving edge security from scratch. DNS configurations varied. TLS settings varied. WAF rules were ad-hoc, sometimes absent, occasionally over-restrictive. There was no shared pattern for bot management, DDoS protection, or rate limiting — meaning each new application required a custom security design exercise that absorbed engineering time and produced inconsistent outcomes.</w:t>
      </w:r>
    </w:p>
    <w:p w14:paraId="2FDC7EEA" w14:textId="77777777" w:rsidR="000667C4" w:rsidRDefault="00000000">
      <w:pPr>
        <w:spacing w:after="120"/>
      </w:pPr>
      <w:r>
        <w:rPr>
          <w:color w:val="1A1A1A"/>
        </w:rPr>
        <w:lastRenderedPageBreak/>
        <w:t>The strategic question was whether to standardize on AWS-native edge controls or introduce Cloudflare as a unified edge layer. The decision required a working proof of concept, not a slide deck.</w:t>
      </w:r>
    </w:p>
    <w:p w14:paraId="38FD9580" w14:textId="77777777" w:rsidR="000667C4" w:rsidRDefault="00000000">
      <w:pPr>
        <w:spacing w:before="240" w:after="80"/>
      </w:pPr>
      <w:r>
        <w:rPr>
          <w:b/>
          <w:bCs/>
          <w:color w:val="5F5E5A"/>
          <w:spacing w:val="30"/>
          <w:sz w:val="18"/>
          <w:szCs w:val="18"/>
        </w:rPr>
        <w:t>APPROACH</w:t>
      </w:r>
    </w:p>
    <w:p w14:paraId="735D15B4" w14:textId="77777777" w:rsidR="000667C4" w:rsidRDefault="00000000">
      <w:pPr>
        <w:spacing w:after="120"/>
      </w:pPr>
      <w:r>
        <w:rPr>
          <w:color w:val="1A1A1A"/>
        </w:rPr>
        <w:t>We designed and validated a reusable Cloudflare ingress pattern that combined the strongest edge protections into a single onboarding standard. DNS was managed in Route 53 with Cloudflare-proxied subdomains for public hostnames. At the edge, the pattern enforced WAF with the OWASP Core Rule Set, advanced rate limiting, bot management (managed challenge for suspicious traffic), and DDoS protection at L3/L4 and L7. TLS terminated at Cloudflare and re-encrypted to the AWS Application Load Balancer using mTLS where the application supported it. Origin protection ensured traffic could not bypass the edge — ALB security groups locked to Cloudflare IP ranges only.</w:t>
      </w:r>
    </w:p>
    <w:p w14:paraId="5516A229" w14:textId="77777777" w:rsidR="000667C4" w:rsidRDefault="00000000">
      <w:pPr>
        <w:spacing w:after="120"/>
      </w:pPr>
      <w:r>
        <w:rPr>
          <w:color w:val="1A1A1A"/>
        </w:rPr>
        <w:t>Validation was evidence-based, not just configuration-based. We captured test outputs (curl with headers, dig for DNS, simulated bot patterns, rate-limit triggers) that proved each control was active end-to-end. The evidence package was designed to satisfy both architecture review and audit scrutiny.</w:t>
      </w:r>
    </w:p>
    <w:p w14:paraId="6057DDD4" w14:textId="77777777" w:rsidR="000667C4" w:rsidRDefault="00000000">
      <w:pPr>
        <w:spacing w:before="240" w:after="80"/>
      </w:pPr>
      <w:r>
        <w:rPr>
          <w:b/>
          <w:bCs/>
          <w:color w:val="5F5E5A"/>
          <w:spacing w:val="30"/>
          <w:sz w:val="18"/>
          <w:szCs w:val="18"/>
        </w:rPr>
        <w:t>OUTCOMES</w:t>
      </w:r>
    </w:p>
    <w:p w14:paraId="25E5ED2D" w14:textId="77777777" w:rsidR="000667C4" w:rsidRDefault="00000000">
      <w:pPr>
        <w:pStyle w:val="ListParagraph"/>
        <w:numPr>
          <w:ilvl w:val="0"/>
          <w:numId w:val="2"/>
        </w:numPr>
        <w:spacing w:after="80"/>
      </w:pPr>
      <w:r>
        <w:rPr>
          <w:color w:val="1A1A1A"/>
        </w:rPr>
        <w:t>Reusable ingress pattern adopted as the enterprise standard for public-facing applications, replacing per-application custom security design.</w:t>
      </w:r>
    </w:p>
    <w:p w14:paraId="00C8A50D" w14:textId="77777777" w:rsidR="000667C4" w:rsidRDefault="00000000">
      <w:pPr>
        <w:pStyle w:val="ListParagraph"/>
        <w:numPr>
          <w:ilvl w:val="0"/>
          <w:numId w:val="2"/>
        </w:numPr>
        <w:spacing w:after="80"/>
      </w:pPr>
      <w:r>
        <w:rPr>
          <w:color w:val="1A1A1A"/>
        </w:rPr>
        <w:t xml:space="preserve">Reduced new application security design time from </w:t>
      </w:r>
      <w:r>
        <w:rPr>
          <w:b/>
          <w:bCs/>
          <w:color w:val="1A1A1A"/>
        </w:rPr>
        <w:t>an estimated 2–3 weeks of bespoke architecture work to under 2 days</w:t>
      </w:r>
      <w:r>
        <w:rPr>
          <w:color w:val="1A1A1A"/>
        </w:rPr>
        <w:t xml:space="preserve"> using the documented pattern.</w:t>
      </w:r>
    </w:p>
    <w:p w14:paraId="2C70A510" w14:textId="77777777" w:rsidR="000667C4" w:rsidRDefault="00000000">
      <w:pPr>
        <w:pStyle w:val="ListParagraph"/>
        <w:numPr>
          <w:ilvl w:val="0"/>
          <w:numId w:val="2"/>
        </w:numPr>
        <w:spacing w:after="80"/>
      </w:pPr>
      <w:r>
        <w:rPr>
          <w:color w:val="1A1A1A"/>
        </w:rPr>
        <w:t xml:space="preserve">Strengthened defense against web threats, abusive bot traffic, and credential-stuffing attacks — early metrics showed </w:t>
      </w:r>
      <w:r>
        <w:rPr>
          <w:b/>
          <w:bCs/>
          <w:color w:val="1A1A1A"/>
        </w:rPr>
        <w:t>a 90%+ reduction in known-bad bot requests reaching origin</w:t>
      </w:r>
      <w:r>
        <w:rPr>
          <w:color w:val="1A1A1A"/>
        </w:rPr>
        <w:t xml:space="preserve"> for applications onboarded to the pattern.</w:t>
      </w:r>
    </w:p>
    <w:p w14:paraId="78791946" w14:textId="77777777" w:rsidR="000667C4" w:rsidRDefault="00000000">
      <w:pPr>
        <w:pStyle w:val="ListParagraph"/>
        <w:numPr>
          <w:ilvl w:val="0"/>
          <w:numId w:val="2"/>
        </w:numPr>
        <w:spacing w:after="80"/>
      </w:pPr>
      <w:r>
        <w:rPr>
          <w:color w:val="1A1A1A"/>
        </w:rPr>
        <w:t>Produced an evidence-based validation package that holds up in architecture review and audit, removing the recurring "how do we know this is actually working" conversation from app onboarding.</w:t>
      </w:r>
    </w:p>
    <w:p w14:paraId="58CB7C31" w14:textId="77777777" w:rsidR="000667C4" w:rsidRDefault="00000000">
      <w:pPr>
        <w:pStyle w:val="ListParagraph"/>
        <w:numPr>
          <w:ilvl w:val="0"/>
          <w:numId w:val="2"/>
        </w:numPr>
        <w:spacing w:after="80"/>
      </w:pPr>
      <w:r>
        <w:rPr>
          <w:color w:val="1A1A1A"/>
        </w:rPr>
        <w:t xml:space="preserve">Estimated annual savings in engineering hours: </w:t>
      </w:r>
      <w:r>
        <w:rPr>
          <w:b/>
          <w:bCs/>
          <w:color w:val="1A1A1A"/>
        </w:rPr>
        <w:t>$120K – $180K</w:t>
      </w:r>
      <w:r>
        <w:rPr>
          <w:color w:val="1A1A1A"/>
        </w:rPr>
        <w:t xml:space="preserve"> in avoided custom security design work across the public application portfolio.</w:t>
      </w:r>
    </w:p>
    <w:p w14:paraId="1168394C" w14:textId="77777777" w:rsidR="000667C4" w:rsidRDefault="00000000">
      <w:pPr>
        <w:spacing w:before="240" w:after="80"/>
      </w:pPr>
      <w:r>
        <w:rPr>
          <w:b/>
          <w:bCs/>
          <w:color w:val="5F5E5A"/>
          <w:spacing w:val="30"/>
          <w:sz w:val="18"/>
          <w:szCs w:val="18"/>
        </w:rPr>
        <w:t>SERVICES DELIVERED</w:t>
      </w:r>
    </w:p>
    <w:p w14:paraId="666AD5C0" w14:textId="77777777" w:rsidR="000667C4" w:rsidRDefault="00000000">
      <w:pPr>
        <w:spacing w:after="120"/>
      </w:pPr>
      <w:r>
        <w:rPr>
          <w:color w:val="1A1A1A"/>
        </w:rPr>
        <w:t>Edge architecture design · WAF &amp; bot protection · TLS validation · Pattern documentation · Evidence-based testing</w:t>
      </w:r>
    </w:p>
    <w:p w14:paraId="2B9708FC" w14:textId="77777777" w:rsidR="000667C4" w:rsidRDefault="00000000">
      <w:pPr>
        <w:spacing w:before="240" w:after="80"/>
      </w:pPr>
      <w:r>
        <w:rPr>
          <w:b/>
          <w:bCs/>
          <w:color w:val="5F5E5A"/>
          <w:spacing w:val="30"/>
          <w:sz w:val="18"/>
          <w:szCs w:val="18"/>
        </w:rPr>
        <w:t>STACK</w:t>
      </w:r>
    </w:p>
    <w:p w14:paraId="5C40640B" w14:textId="77777777" w:rsidR="000667C4" w:rsidRDefault="00000000">
      <w:pPr>
        <w:spacing w:after="120"/>
      </w:pPr>
      <w:r>
        <w:rPr>
          <w:color w:val="1A1A1A"/>
        </w:rPr>
        <w:t>Cloudflare (WAF, Bot Management, Advanced Rate Limiting, DDoS), AWS Route 53, AWS ALB, TLS/mTLS</w:t>
      </w:r>
    </w:p>
    <w:p w14:paraId="2D4AD230" w14:textId="77777777" w:rsidR="000667C4" w:rsidRDefault="000667C4">
      <w:pPr>
        <w:pBdr>
          <w:bottom w:val="single" w:sz="6" w:space="6" w:color="D0CFC9"/>
        </w:pBdr>
        <w:spacing w:before="200" w:after="200"/>
      </w:pPr>
    </w:p>
    <w:p w14:paraId="2A6E4D43" w14:textId="77777777" w:rsidR="000667C4" w:rsidRDefault="00000000">
      <w:pPr>
        <w:pStyle w:val="Heading1"/>
        <w:pBdr>
          <w:bottom w:val="single" w:sz="6" w:space="6" w:color="1E4E8C"/>
        </w:pBdr>
      </w:pPr>
      <w:r>
        <w:t>Project 5 — Secure Cloud Migration &amp; Network Governance</w:t>
      </w:r>
    </w:p>
    <w:p w14:paraId="6496C44D" w14:textId="77777777" w:rsidR="000667C4" w:rsidRDefault="00000000">
      <w:pPr>
        <w:spacing w:before="240" w:after="80"/>
      </w:pPr>
      <w:r>
        <w:rPr>
          <w:b/>
          <w:bCs/>
          <w:color w:val="5F5E5A"/>
          <w:spacing w:val="30"/>
          <w:sz w:val="18"/>
          <w:szCs w:val="18"/>
        </w:rPr>
        <w:t>POSITION ON WEBSITE (OPTIONAL)</w:t>
      </w:r>
    </w:p>
    <w:p w14:paraId="06F5AA53" w14:textId="77777777" w:rsidR="000667C4" w:rsidRDefault="00000000">
      <w:pPr>
        <w:spacing w:after="120"/>
      </w:pPr>
      <w:r>
        <w:rPr>
          <w:color w:val="1A1A1A"/>
        </w:rPr>
        <w:t>Proposed as the bottom-right card in the 2×2 supporting grid. Suggested accent color: pink/coral. Open to revision.</w:t>
      </w:r>
    </w:p>
    <w:p w14:paraId="1993D84B" w14:textId="77777777" w:rsidR="000667C4" w:rsidRDefault="00000000">
      <w:pPr>
        <w:spacing w:before="240" w:after="80"/>
      </w:pPr>
      <w:r>
        <w:rPr>
          <w:b/>
          <w:bCs/>
          <w:color w:val="5F5E5A"/>
          <w:spacing w:val="30"/>
          <w:sz w:val="18"/>
          <w:szCs w:val="18"/>
        </w:rPr>
        <w:lastRenderedPageBreak/>
        <w:t>CLIENT CONTEXT</w:t>
      </w:r>
    </w:p>
    <w:p w14:paraId="57DD7A2E" w14:textId="77777777" w:rsidR="000667C4" w:rsidRDefault="00000000">
      <w:pPr>
        <w:spacing w:after="120"/>
      </w:pPr>
      <w:r>
        <w:rPr>
          <w:color w:val="1A1A1A"/>
        </w:rPr>
        <w:t>Global agribusiness, mid-stream in a multi-year AWS migration program. Workloads were moving from on-premise data centers and legacy hosting into a multi-account AWS landing zone.</w:t>
      </w:r>
    </w:p>
    <w:p w14:paraId="66A514BE" w14:textId="77777777" w:rsidR="000667C4" w:rsidRDefault="00000000">
      <w:pPr>
        <w:spacing w:before="240" w:after="80"/>
      </w:pPr>
      <w:r>
        <w:rPr>
          <w:b/>
          <w:bCs/>
          <w:color w:val="5F5E5A"/>
          <w:spacing w:val="30"/>
          <w:sz w:val="18"/>
          <w:szCs w:val="18"/>
        </w:rPr>
        <w:t>THE CHALLENGE</w:t>
      </w:r>
    </w:p>
    <w:p w14:paraId="6619BBA6" w14:textId="77777777" w:rsidR="000667C4" w:rsidRDefault="00000000">
      <w:pPr>
        <w:spacing w:after="120"/>
      </w:pPr>
      <w:r>
        <w:rPr>
          <w:color w:val="1A1A1A"/>
        </w:rPr>
        <w:t>Migration hypercare created a recurring tension. Application teams under pressure to maintain business continuity needed firewall changes fast — sometimes within hours — to restore broken integrations or open up access for newly migrated workloads. The pressure produced overly broad rules, undocumented exceptions, and a steadily blurring line between true blockers and operational convenience. Every emergency change created security debt. Every undocumented exception became an audit finding waiting to happen.</w:t>
      </w:r>
    </w:p>
    <w:p w14:paraId="0440CE76" w14:textId="77777777" w:rsidR="000667C4" w:rsidRDefault="00000000">
      <w:pPr>
        <w:spacing w:after="120"/>
      </w:pPr>
      <w:r>
        <w:rPr>
          <w:color w:val="1A1A1A"/>
        </w:rPr>
        <w:t>Leadership needed a framework that preserved migration velocity without inheriting a permanent backlog of unmanaged network exceptions.</w:t>
      </w:r>
    </w:p>
    <w:p w14:paraId="453D41B5" w14:textId="77777777" w:rsidR="000667C4" w:rsidRDefault="00000000">
      <w:pPr>
        <w:spacing w:before="240" w:after="80"/>
      </w:pPr>
      <w:r>
        <w:rPr>
          <w:b/>
          <w:bCs/>
          <w:color w:val="5F5E5A"/>
          <w:spacing w:val="30"/>
          <w:sz w:val="18"/>
          <w:szCs w:val="18"/>
        </w:rPr>
        <w:t>APPROACH</w:t>
      </w:r>
    </w:p>
    <w:p w14:paraId="5A0EA979" w14:textId="77777777" w:rsidR="000667C4" w:rsidRDefault="00000000">
      <w:pPr>
        <w:spacing w:after="120"/>
      </w:pPr>
      <w:r>
        <w:rPr>
          <w:color w:val="1A1A1A"/>
        </w:rPr>
        <w:t>We built a two-tier segmentation model that separated network policy enforcement by purpose. Amazon Network Firewall handled macro-segmentation and inspection — broad policies between trust zones, egress filtering, IDS-style inspection of east-west traffic. Security groups handled micro-segmentation at the workload level — application-specific allow rules between known services.</w:t>
      </w:r>
    </w:p>
    <w:p w14:paraId="7F88764C" w14:textId="77777777" w:rsidR="000667C4" w:rsidRDefault="00000000">
      <w:pPr>
        <w:spacing w:after="120"/>
      </w:pPr>
      <w:r>
        <w:rPr>
          <w:color w:val="1A1A1A"/>
        </w:rPr>
        <w:t>Exception governance changed the dynamics around emergency changes. Every temporary exception now required four things: a business justification, an expiry date, a named owner, and risk acceptance from an appropriate level (engineering manager for low-risk, security lead for high-risk). Exceptions without expiry were no longer possible — the request workflow forced a date.</w:t>
      </w:r>
    </w:p>
    <w:p w14:paraId="312F3EAA" w14:textId="77777777" w:rsidR="000667C4" w:rsidRDefault="00000000">
      <w:pPr>
        <w:spacing w:after="120"/>
      </w:pPr>
      <w:r>
        <w:rPr>
          <w:color w:val="1A1A1A"/>
        </w:rPr>
        <w:t>Visibility came from firewall logs and VPC Flow Logs piped into dashboards that engineering teams could query directly. Self-service troubleshooting replaced the previous pattern of every blocked-traffic question routing to the network security team. Anti-patterns (wide-open security groups, overly permissive egress rules, exceptions without justification) were documented alongside the patterns so future decisions did not relitigate the same debates.</w:t>
      </w:r>
    </w:p>
    <w:p w14:paraId="7C83DFBD" w14:textId="77777777" w:rsidR="000667C4" w:rsidRDefault="00000000">
      <w:pPr>
        <w:spacing w:before="240" w:after="80"/>
      </w:pPr>
      <w:r>
        <w:rPr>
          <w:b/>
          <w:bCs/>
          <w:color w:val="5F5E5A"/>
          <w:spacing w:val="30"/>
          <w:sz w:val="18"/>
          <w:szCs w:val="18"/>
        </w:rPr>
        <w:t>OUTCOMES</w:t>
      </w:r>
    </w:p>
    <w:p w14:paraId="6A2B49A6" w14:textId="77777777" w:rsidR="000667C4" w:rsidRDefault="00000000">
      <w:pPr>
        <w:pStyle w:val="ListParagraph"/>
        <w:numPr>
          <w:ilvl w:val="0"/>
          <w:numId w:val="2"/>
        </w:numPr>
        <w:spacing w:after="80"/>
      </w:pPr>
      <w:r>
        <w:rPr>
          <w:color w:val="1A1A1A"/>
        </w:rPr>
        <w:t xml:space="preserve">Migration phases completed without security-driven business disruption — </w:t>
      </w:r>
      <w:r>
        <w:rPr>
          <w:b/>
          <w:bCs/>
          <w:color w:val="1A1A1A"/>
        </w:rPr>
        <w:t>zero migration-blocking incidents attributable to firewall or network policy</w:t>
      </w:r>
      <w:r>
        <w:rPr>
          <w:color w:val="1A1A1A"/>
        </w:rPr>
        <w:t xml:space="preserve"> across the assessed migration waves.</w:t>
      </w:r>
    </w:p>
    <w:p w14:paraId="19B5460A" w14:textId="77777777" w:rsidR="000667C4" w:rsidRDefault="00000000">
      <w:pPr>
        <w:pStyle w:val="ListParagraph"/>
        <w:numPr>
          <w:ilvl w:val="0"/>
          <w:numId w:val="2"/>
        </w:numPr>
        <w:spacing w:after="80"/>
      </w:pPr>
      <w:r>
        <w:rPr>
          <w:color w:val="1A1A1A"/>
        </w:rPr>
        <w:t>Auditable trail for every temporary network exception, with automatic expiry forcing review rather than relying on manual cleanup.</w:t>
      </w:r>
    </w:p>
    <w:p w14:paraId="5A4CB437" w14:textId="77777777" w:rsidR="000667C4" w:rsidRDefault="00000000">
      <w:pPr>
        <w:pStyle w:val="ListParagraph"/>
        <w:numPr>
          <w:ilvl w:val="0"/>
          <w:numId w:val="2"/>
        </w:numPr>
        <w:spacing w:after="80"/>
      </w:pPr>
      <w:r>
        <w:rPr>
          <w:color w:val="1A1A1A"/>
        </w:rPr>
        <w:t xml:space="preserve">Faster troubleshooting through firewall and VPC Flow Log visibility — engineering team self-service queries reduced network security escalations by </w:t>
      </w:r>
      <w:r>
        <w:rPr>
          <w:b/>
          <w:bCs/>
          <w:color w:val="1A1A1A"/>
        </w:rPr>
        <w:t>approximately 50%</w:t>
      </w:r>
      <w:r>
        <w:rPr>
          <w:color w:val="1A1A1A"/>
        </w:rPr>
        <w:t>.</w:t>
      </w:r>
    </w:p>
    <w:p w14:paraId="4BAA7FDD" w14:textId="77777777" w:rsidR="000667C4" w:rsidRDefault="00000000">
      <w:pPr>
        <w:pStyle w:val="ListParagraph"/>
        <w:numPr>
          <w:ilvl w:val="0"/>
          <w:numId w:val="2"/>
        </w:numPr>
        <w:spacing w:after="80"/>
      </w:pPr>
      <w:r>
        <w:rPr>
          <w:color w:val="1A1A1A"/>
        </w:rPr>
        <w:t>Reusable network security playbook documenting both patterns and anti-patterns, adopted as the standard for subsequent migration waves.</w:t>
      </w:r>
    </w:p>
    <w:p w14:paraId="66F831FA" w14:textId="77777777" w:rsidR="000667C4" w:rsidRDefault="00000000">
      <w:pPr>
        <w:pStyle w:val="ListParagraph"/>
        <w:numPr>
          <w:ilvl w:val="0"/>
          <w:numId w:val="2"/>
        </w:numPr>
        <w:spacing w:after="80"/>
      </w:pPr>
      <w:r>
        <w:rPr>
          <w:color w:val="1A1A1A"/>
        </w:rPr>
        <w:t xml:space="preserve">Reduced open network exceptions inherited from migration hypercare from </w:t>
      </w:r>
      <w:r>
        <w:rPr>
          <w:b/>
          <w:bCs/>
          <w:color w:val="1A1A1A"/>
        </w:rPr>
        <w:t>over 90 to under 25</w:t>
      </w:r>
      <w:r>
        <w:rPr>
          <w:color w:val="1A1A1A"/>
        </w:rPr>
        <w:t xml:space="preserve"> within two quarters of the program launching.</w:t>
      </w:r>
    </w:p>
    <w:p w14:paraId="5AA224DA" w14:textId="77777777" w:rsidR="000667C4" w:rsidRDefault="00000000">
      <w:pPr>
        <w:spacing w:before="240" w:after="80"/>
      </w:pPr>
      <w:r>
        <w:rPr>
          <w:b/>
          <w:bCs/>
          <w:color w:val="5F5E5A"/>
          <w:spacing w:val="30"/>
          <w:sz w:val="18"/>
          <w:szCs w:val="18"/>
        </w:rPr>
        <w:t>SERVICES DELIVERED</w:t>
      </w:r>
    </w:p>
    <w:p w14:paraId="196CA1A7" w14:textId="77777777" w:rsidR="000667C4" w:rsidRDefault="00000000">
      <w:pPr>
        <w:spacing w:after="120"/>
      </w:pPr>
      <w:r>
        <w:rPr>
          <w:color w:val="1A1A1A"/>
        </w:rPr>
        <w:t>Network segmentation design · Exception governance · Migration security support · Operational dashboard design · Anti-pattern documentation</w:t>
      </w:r>
    </w:p>
    <w:p w14:paraId="77825111" w14:textId="77777777" w:rsidR="000667C4" w:rsidRDefault="00000000">
      <w:pPr>
        <w:spacing w:before="240" w:after="80"/>
      </w:pPr>
      <w:r>
        <w:rPr>
          <w:b/>
          <w:bCs/>
          <w:color w:val="5F5E5A"/>
          <w:spacing w:val="30"/>
          <w:sz w:val="18"/>
          <w:szCs w:val="18"/>
        </w:rPr>
        <w:lastRenderedPageBreak/>
        <w:t>STACK</w:t>
      </w:r>
    </w:p>
    <w:p w14:paraId="5D6CEB5D" w14:textId="77777777" w:rsidR="000667C4" w:rsidRDefault="00000000">
      <w:pPr>
        <w:spacing w:after="120"/>
      </w:pPr>
      <w:r>
        <w:rPr>
          <w:color w:val="1A1A1A"/>
        </w:rPr>
        <w:t>Amazon Network Firewall, AWS Security Groups, VPC Flow Logs, AWS CloudWan, SIEM (OpenSearch)</w:t>
      </w:r>
    </w:p>
    <w:p w14:paraId="368E4818" w14:textId="77777777" w:rsidR="000667C4" w:rsidRDefault="000667C4">
      <w:pPr>
        <w:pBdr>
          <w:bottom w:val="single" w:sz="6" w:space="6" w:color="D0CFC9"/>
        </w:pBdr>
        <w:spacing w:before="200" w:after="200"/>
      </w:pPr>
    </w:p>
    <w:p w14:paraId="0B709D7C" w14:textId="77777777" w:rsidR="000667C4" w:rsidRDefault="000667C4">
      <w:pPr>
        <w:spacing w:after="400"/>
      </w:pPr>
    </w:p>
    <w:sectPr w:rsidR="000667C4">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for, Emmanuel Yuniwo" w:date="2026-05-25T00:26:00Z" w:initials="EN">
    <w:p w14:paraId="7CEA3766" w14:textId="77777777" w:rsidR="00F07838" w:rsidRDefault="00F07838" w:rsidP="00F07838">
      <w:pPr>
        <w:pStyle w:val="CommentText"/>
      </w:pPr>
      <w:r>
        <w:rPr>
          <w:rStyle w:val="CommentReference"/>
        </w:rPr>
        <w:annotationRef/>
      </w:r>
      <w:r>
        <w:t>It will be helpful to reposition some of the case studies across these additional industries. Any experience serving a company in the Consumer Packaged Goods (CPGs) or Supply Chain industry?</w:t>
      </w:r>
    </w:p>
  </w:comment>
  <w:comment w:id="1" w:author="Nfor, Emmanuel Yuniwo" w:date="2026-05-25T00:19:00Z" w:initials="EN">
    <w:p w14:paraId="3C4C35D6" w14:textId="77777777" w:rsidR="008D71DF" w:rsidRDefault="00102CFF" w:rsidP="008D71DF">
      <w:pPr>
        <w:pStyle w:val="CommentText"/>
      </w:pPr>
      <w:r>
        <w:rPr>
          <w:rStyle w:val="CommentReference"/>
        </w:rPr>
        <w:annotationRef/>
      </w:r>
      <w:r w:rsidR="008D71DF">
        <w:t>The challenge reads like technical findings from an assessment, which is more appropriate for people with greater domain knowledge. Consider rewording to highlight the market manifestations of the challenge. For example, clients hesitated to share sensitive information, resulting in slow deals and scope loss; loss of key accounts after breaches; and repeated failures to pass security audits, win RFPs, and miss upsell opportunities. The sales team spent more time defending against risks rather than selling value.</w:t>
      </w:r>
    </w:p>
    <w:p w14:paraId="52BA37E5" w14:textId="77777777" w:rsidR="008D71DF" w:rsidRDefault="008D71DF" w:rsidP="008D71DF">
      <w:pPr>
        <w:pStyle w:val="CommentText"/>
      </w:pPr>
    </w:p>
    <w:p w14:paraId="06DB6214" w14:textId="77777777" w:rsidR="008D71DF" w:rsidRDefault="008D71DF" w:rsidP="008D71DF">
      <w:pPr>
        <w:pStyle w:val="CommentText"/>
      </w:pPr>
      <w:r>
        <w:t>If my suggestion is acceptable, you can update all the challenges accordingly and align them with the rest of the case study.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EA3766" w15:done="0"/>
  <w15:commentEx w15:paraId="06DB62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D62165" w16cex:dateUtc="2026-05-25T04:26:00Z"/>
  <w16cex:commentExtensible w16cex:durableId="02FB098A" w16cex:dateUtc="2026-05-25T0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EA3766" w16cid:durableId="6FD62165"/>
  <w16cid:commentId w16cid:paraId="06DB6214" w16cid:durableId="02FB09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51D60" w14:textId="77777777" w:rsidR="00B72FDF" w:rsidRDefault="00B72FDF">
      <w:r>
        <w:separator/>
      </w:r>
    </w:p>
  </w:endnote>
  <w:endnote w:type="continuationSeparator" w:id="0">
    <w:p w14:paraId="7FB7B672" w14:textId="77777777" w:rsidR="00B72FDF" w:rsidRDefault="00B72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5B6C7" w14:textId="77777777" w:rsidR="000667C4" w:rsidRDefault="00000000">
    <w:pPr>
      <w:jc w:val="center"/>
    </w:pPr>
    <w:r>
      <w:rPr>
        <w:color w:val="5F5E5A"/>
        <w:sz w:val="18"/>
        <w:szCs w:val="18"/>
      </w:rPr>
      <w:t xml:space="preserve">Alain Ngwa Bumenang Consulting  ·  Page </w:t>
    </w:r>
    <w:r>
      <w:rPr>
        <w:color w:val="5F5E5A"/>
        <w:sz w:val="18"/>
        <w:szCs w:val="18"/>
      </w:rPr>
      <w:fldChar w:fldCharType="begin"/>
    </w:r>
    <w:r>
      <w:rPr>
        <w:color w:val="5F5E5A"/>
        <w:sz w:val="18"/>
        <w:szCs w:val="18"/>
      </w:rPr>
      <w:instrText>PAGE</w:instrText>
    </w:r>
    <w:r>
      <w:rPr>
        <w:color w:val="5F5E5A"/>
        <w:sz w:val="18"/>
        <w:szCs w:val="18"/>
      </w:rPr>
      <w:fldChar w:fldCharType="separate"/>
    </w:r>
    <w:r w:rsidR="007D2093">
      <w:rPr>
        <w:noProof/>
        <w:color w:val="5F5E5A"/>
        <w:sz w:val="18"/>
        <w:szCs w:val="18"/>
      </w:rPr>
      <w:t>1</w:t>
    </w:r>
    <w:r>
      <w:rPr>
        <w:color w:val="5F5E5A"/>
        <w:sz w:val="18"/>
        <w:szCs w:val="18"/>
      </w:rPr>
      <w:fldChar w:fldCharType="end"/>
    </w:r>
    <w:r>
      <w:rPr>
        <w:color w:val="5F5E5A"/>
        <w:sz w:val="18"/>
        <w:szCs w:val="18"/>
      </w:rPr>
      <w:t xml:space="preserve"> of </w:t>
    </w:r>
    <w:r>
      <w:rPr>
        <w:color w:val="5F5E5A"/>
        <w:sz w:val="18"/>
        <w:szCs w:val="18"/>
      </w:rPr>
      <w:fldChar w:fldCharType="begin"/>
    </w:r>
    <w:r>
      <w:rPr>
        <w:color w:val="5F5E5A"/>
        <w:sz w:val="18"/>
        <w:szCs w:val="18"/>
      </w:rPr>
      <w:instrText>NUMPAGES</w:instrText>
    </w:r>
    <w:r>
      <w:rPr>
        <w:color w:val="5F5E5A"/>
        <w:sz w:val="18"/>
        <w:szCs w:val="18"/>
      </w:rPr>
      <w:fldChar w:fldCharType="separate"/>
    </w:r>
    <w:r w:rsidR="007D2093">
      <w:rPr>
        <w:noProof/>
        <w:color w:val="5F5E5A"/>
        <w:sz w:val="18"/>
        <w:szCs w:val="18"/>
      </w:rPr>
      <w:t>2</w:t>
    </w:r>
    <w:r>
      <w:rPr>
        <w:color w:val="5F5E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12DF8" w14:textId="77777777" w:rsidR="00B72FDF" w:rsidRDefault="00B72FDF">
      <w:r>
        <w:separator/>
      </w:r>
    </w:p>
  </w:footnote>
  <w:footnote w:type="continuationSeparator" w:id="0">
    <w:p w14:paraId="5F3152E4" w14:textId="77777777" w:rsidR="00B72FDF" w:rsidRDefault="00B72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FBBA" w14:textId="77777777" w:rsidR="000667C4" w:rsidRDefault="00000000">
    <w:pPr>
      <w:jc w:val="right"/>
    </w:pPr>
    <w:r>
      <w:rPr>
        <w:color w:val="5F5E5A"/>
        <w:sz w:val="18"/>
        <w:szCs w:val="18"/>
      </w:rPr>
      <w:t>Selected Engagements — Proposal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26DCD"/>
    <w:multiLevelType w:val="hybridMultilevel"/>
    <w:tmpl w:val="4A8E8ECC"/>
    <w:lvl w:ilvl="0" w:tplc="C346CAC8">
      <w:start w:val="1"/>
      <w:numFmt w:val="bullet"/>
      <w:lvlText w:val="•"/>
      <w:lvlJc w:val="left"/>
      <w:pPr>
        <w:ind w:left="720" w:hanging="360"/>
      </w:pPr>
    </w:lvl>
    <w:lvl w:ilvl="1" w:tplc="08FAADB2">
      <w:numFmt w:val="decimal"/>
      <w:lvlText w:val=""/>
      <w:lvlJc w:val="left"/>
    </w:lvl>
    <w:lvl w:ilvl="2" w:tplc="0D70D60A">
      <w:numFmt w:val="decimal"/>
      <w:lvlText w:val=""/>
      <w:lvlJc w:val="left"/>
    </w:lvl>
    <w:lvl w:ilvl="3" w:tplc="FA28560A">
      <w:numFmt w:val="decimal"/>
      <w:lvlText w:val=""/>
      <w:lvlJc w:val="left"/>
    </w:lvl>
    <w:lvl w:ilvl="4" w:tplc="184ED9D0">
      <w:numFmt w:val="decimal"/>
      <w:lvlText w:val=""/>
      <w:lvlJc w:val="left"/>
    </w:lvl>
    <w:lvl w:ilvl="5" w:tplc="A1884F88">
      <w:numFmt w:val="decimal"/>
      <w:lvlText w:val=""/>
      <w:lvlJc w:val="left"/>
    </w:lvl>
    <w:lvl w:ilvl="6" w:tplc="7C044376">
      <w:numFmt w:val="decimal"/>
      <w:lvlText w:val=""/>
      <w:lvlJc w:val="left"/>
    </w:lvl>
    <w:lvl w:ilvl="7" w:tplc="8A123A10">
      <w:numFmt w:val="decimal"/>
      <w:lvlText w:val=""/>
      <w:lvlJc w:val="left"/>
    </w:lvl>
    <w:lvl w:ilvl="8" w:tplc="F2A2DBF8">
      <w:numFmt w:val="decimal"/>
      <w:lvlText w:val=""/>
      <w:lvlJc w:val="left"/>
    </w:lvl>
  </w:abstractNum>
  <w:abstractNum w:abstractNumId="1" w15:restartNumberingAfterBreak="0">
    <w:nsid w:val="2CB95EB2"/>
    <w:multiLevelType w:val="hybridMultilevel"/>
    <w:tmpl w:val="530687D8"/>
    <w:lvl w:ilvl="0" w:tplc="0BAC3C7E">
      <w:start w:val="1"/>
      <w:numFmt w:val="bullet"/>
      <w:lvlText w:val="●"/>
      <w:lvlJc w:val="left"/>
      <w:pPr>
        <w:ind w:left="720" w:hanging="360"/>
      </w:pPr>
    </w:lvl>
    <w:lvl w:ilvl="1" w:tplc="3E70BED2">
      <w:start w:val="1"/>
      <w:numFmt w:val="bullet"/>
      <w:lvlText w:val="○"/>
      <w:lvlJc w:val="left"/>
      <w:pPr>
        <w:ind w:left="1440" w:hanging="360"/>
      </w:pPr>
    </w:lvl>
    <w:lvl w:ilvl="2" w:tplc="FCDAF694">
      <w:start w:val="1"/>
      <w:numFmt w:val="bullet"/>
      <w:lvlText w:val="■"/>
      <w:lvlJc w:val="left"/>
      <w:pPr>
        <w:ind w:left="2160" w:hanging="360"/>
      </w:pPr>
    </w:lvl>
    <w:lvl w:ilvl="3" w:tplc="11E28434">
      <w:start w:val="1"/>
      <w:numFmt w:val="bullet"/>
      <w:lvlText w:val="●"/>
      <w:lvlJc w:val="left"/>
      <w:pPr>
        <w:ind w:left="2880" w:hanging="360"/>
      </w:pPr>
    </w:lvl>
    <w:lvl w:ilvl="4" w:tplc="51F6B13A">
      <w:start w:val="1"/>
      <w:numFmt w:val="bullet"/>
      <w:lvlText w:val="○"/>
      <w:lvlJc w:val="left"/>
      <w:pPr>
        <w:ind w:left="3600" w:hanging="360"/>
      </w:pPr>
    </w:lvl>
    <w:lvl w:ilvl="5" w:tplc="8478686A">
      <w:start w:val="1"/>
      <w:numFmt w:val="bullet"/>
      <w:lvlText w:val="■"/>
      <w:lvlJc w:val="left"/>
      <w:pPr>
        <w:ind w:left="4320" w:hanging="360"/>
      </w:pPr>
    </w:lvl>
    <w:lvl w:ilvl="6" w:tplc="2A08E18E">
      <w:start w:val="1"/>
      <w:numFmt w:val="bullet"/>
      <w:lvlText w:val="●"/>
      <w:lvlJc w:val="left"/>
      <w:pPr>
        <w:ind w:left="5040" w:hanging="360"/>
      </w:pPr>
    </w:lvl>
    <w:lvl w:ilvl="7" w:tplc="C9205428">
      <w:start w:val="1"/>
      <w:numFmt w:val="bullet"/>
      <w:lvlText w:val="●"/>
      <w:lvlJc w:val="left"/>
      <w:pPr>
        <w:ind w:left="5760" w:hanging="360"/>
      </w:pPr>
    </w:lvl>
    <w:lvl w:ilvl="8" w:tplc="EA7E7238">
      <w:start w:val="1"/>
      <w:numFmt w:val="bullet"/>
      <w:lvlText w:val="●"/>
      <w:lvlJc w:val="left"/>
      <w:pPr>
        <w:ind w:left="6480" w:hanging="360"/>
      </w:pPr>
    </w:lvl>
  </w:abstractNum>
  <w:num w:numId="1" w16cid:durableId="1867517534">
    <w:abstractNumId w:val="1"/>
    <w:lvlOverride w:ilvl="0">
      <w:startOverride w:val="1"/>
    </w:lvlOverride>
  </w:num>
  <w:num w:numId="2" w16cid:durableId="40718787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for, Emmanuel Yuniwo">
    <w15:presenceInfo w15:providerId="AD" w15:userId="S::eynfor@liberty.edu::c5f3b1ee-5af5-41bd-8dc8-316ed264c8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7C4"/>
    <w:rsid w:val="000667C4"/>
    <w:rsid w:val="00102CFF"/>
    <w:rsid w:val="007D2093"/>
    <w:rsid w:val="008D71DF"/>
    <w:rsid w:val="00B72FDF"/>
    <w:rsid w:val="00BF7DDB"/>
    <w:rsid w:val="00C3105D"/>
    <w:rsid w:val="00DB6824"/>
    <w:rsid w:val="00F07838"/>
    <w:rsid w:val="00F54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FF3C1"/>
  <w15:docId w15:val="{32DE73BD-8C50-D64F-B9BA-89F776A1B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A1A1A"/>
      <w:sz w:val="36"/>
      <w:szCs w:val="36"/>
    </w:rPr>
  </w:style>
  <w:style w:type="paragraph" w:styleId="Heading2">
    <w:name w:val="heading 2"/>
    <w:uiPriority w:val="9"/>
    <w:unhideWhenUsed/>
    <w:qFormat/>
    <w:pPr>
      <w:spacing w:before="360" w:after="180"/>
      <w:outlineLvl w:val="1"/>
    </w:pPr>
    <w:rPr>
      <w:b/>
      <w:bCs/>
      <w:color w:val="1A1A1A"/>
      <w:sz w:val="28"/>
      <w:szCs w:val="28"/>
    </w:rPr>
  </w:style>
  <w:style w:type="paragraph" w:styleId="Heading3">
    <w:name w:val="heading 3"/>
    <w:uiPriority w:val="9"/>
    <w:unhideWhenUsed/>
    <w:qFormat/>
    <w:pPr>
      <w:spacing w:before="240" w:after="100"/>
      <w:outlineLvl w:val="2"/>
    </w:pPr>
    <w:rPr>
      <w:b/>
      <w:bCs/>
      <w:color w:val="1E4E8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102CFF"/>
    <w:rPr>
      <w:sz w:val="16"/>
      <w:szCs w:val="16"/>
    </w:rPr>
  </w:style>
  <w:style w:type="paragraph" w:styleId="CommentText">
    <w:name w:val="annotation text"/>
    <w:basedOn w:val="Normal"/>
    <w:link w:val="CommentTextChar"/>
    <w:uiPriority w:val="99"/>
    <w:unhideWhenUsed/>
    <w:rsid w:val="00102CFF"/>
    <w:rPr>
      <w:sz w:val="20"/>
      <w:szCs w:val="20"/>
    </w:rPr>
  </w:style>
  <w:style w:type="character" w:customStyle="1" w:styleId="CommentTextChar">
    <w:name w:val="Comment Text Char"/>
    <w:basedOn w:val="DefaultParagraphFont"/>
    <w:link w:val="CommentText"/>
    <w:uiPriority w:val="99"/>
    <w:rsid w:val="00102CFF"/>
    <w:rPr>
      <w:sz w:val="20"/>
      <w:szCs w:val="20"/>
    </w:rPr>
  </w:style>
  <w:style w:type="paragraph" w:styleId="CommentSubject">
    <w:name w:val="annotation subject"/>
    <w:basedOn w:val="CommentText"/>
    <w:next w:val="CommentText"/>
    <w:link w:val="CommentSubjectChar"/>
    <w:uiPriority w:val="99"/>
    <w:semiHidden/>
    <w:unhideWhenUsed/>
    <w:rsid w:val="00102CFF"/>
    <w:rPr>
      <w:b/>
      <w:bCs/>
    </w:rPr>
  </w:style>
  <w:style w:type="character" w:customStyle="1" w:styleId="CommentSubjectChar">
    <w:name w:val="Comment Subject Char"/>
    <w:basedOn w:val="CommentTextChar"/>
    <w:link w:val="CommentSubject"/>
    <w:uiPriority w:val="99"/>
    <w:semiHidden/>
    <w:rsid w:val="00102CF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a9c6bc5-92dc-4cf8-8aa7-3508258fbd06}" enabled="1" method="Standard" siteId="{57368c21-b8cf-42cf-bd0b-43ecd4bc62ae}" removed="0"/>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Normal</Template>
  <TotalTime>41</TotalTime>
  <Pages>9</Pages>
  <Words>2956</Words>
  <Characters>16851</Characters>
  <Application>Microsoft Office Word</Application>
  <DocSecurity>0</DocSecurity>
  <Lines>140</Lines>
  <Paragraphs>39</Paragraphs>
  <ScaleCrop>false</ScaleCrop>
  <Company/>
  <LinksUpToDate>false</LinksUpToDate>
  <CharactersWithSpaces>19768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Nfor, Emmanuel Yuniwo</cp:lastModifiedBy>
  <cp:revision>5</cp:revision>
  <dcterms:created xsi:type="dcterms:W3CDTF">2026-05-25T04:04:00Z</dcterms:created>
  <dcterms:modified xsi:type="dcterms:W3CDTF">2026-05-25T04:26:00Z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6626ae4f-5ec0-4224-8c65-036444ca6197</vt:lpwstr>
  </property>
</Properties>
</file>