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AETHER × Looking Glass / Sony SRD：调研与借鉴</w:t>
      </w:r>
    </w:p>
    <w:p>
      <w:pPr/>
      <w:r>
        <w:t xml:space="preserve">Oct 24, 2026</w:t>
      </w:r>
      <w:r>
        <w:t xml:space="preserve"> · </w:t>
      </w:r>
      <w:r>
        <w:t xml:space="preserve">@Ng Wei Bin</w:t>
      </w:r>
    </w:p>
    <w:p>
      <w:pPr>
        <w:pStyle w:val="Heading2"/>
      </w:pPr>
      <w:r>
        <w:t xml:space="preserve">结论速览</w:t>
      </w:r>
    </w:p>
    <w:p>
      <w:pPr/>
      <w:r>
        <w:t xml:space="preserve">两家都没有越过我们推出的物理极限，反而用量产产品把它们印证了一遍；AETHER 能借的主要是工程手段，差异化空间在内置手指交互、前浮深度和同时多人。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Sony SRD 就是 AETHER-1 的“单人桌面版”</w:t>
      </w:r>
      <w:r>
        <w:t xml:space="preserve">：眼动追踪 + 微透镜，只为两只眼睛算光线，水平 ±25°、30–75 cm，和我们 Gen-1 的 ±25° 视锥、30–50 cm 观看距离几乎重合。它只有 60 Hz LCD，所以只能服务 1 人（SR2 的“2 人”是轮流切换，不是同时）。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Looking Glass 是“不追踪的静态多视点”</w:t>
      </w:r>
      <w:r>
        <w:t xml:space="preserve">：Go 有 66 个视点、54–58° 视锥，代价是每个视点只分到约 5.6 万像素，内容离零视差面稍远就糊。这正是我们“为什么必须眼动追踪稀疏渲染”的反面教材。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交互</w:t>
      </w:r>
      <w:r>
        <w:t xml:space="preserve">：两家都没有内置手势。Looking Glass 官方文档只支持外接 Ultraleap；Sony 产品页和开发文档都没提手部输入，传感器只看脸。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最值得马上借的三件事</w:t>
      </w:r>
      <w:r>
        <w:t xml:space="preserve">：(1) 透镜–面板对位误差靠逐台标定 + 软件补偿，而不是靠精密贴合（两家都这样做）；(2) Sony 的串扰预补偿和内容设计规则；(3) 斜置透镜、跟踪丢失时的阻尼与惯性推算（Looking Glass 专利）。</w:t>
      </w:r>
    </w:p>
    <w:p>
      <w:pPr>
        <w:pStyle w:val="Heading2"/>
      </w:pPr>
      <w:r>
        <w:t xml:space="preserve">核对之前的说法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44"/>
        <w:gridCol w:w="4920"/>
        <w:gridCol w:w="2296"/>
      </w:tblGrid>
      <w:tr>
        <w:trPr>
          <w:tblHeader/>
        </w:trPr>
        <w:tc>
          <w:tcPr>
            <w:tcW w:w="2144" w:type="dxa"/>
            <w:shd w:val="clear" w:color="auto" w:fill="F2F2F2"/>
          </w:tcPr>
          <w:p>
            <w:pPr/>
            <w:r>
              <w:t xml:space="preserve">说法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核对结果</w:t>
            </w:r>
          </w:p>
        </w:tc>
        <w:tc>
          <w:tcPr>
            <w:tcW w:w="2296" w:type="dxa"/>
            <w:shd w:val="clear" w:color="auto" w:fill="F2F2F2"/>
          </w:tcPr>
          <w:p>
            <w:pPr/>
            <w:r>
              <w:t xml:space="preserve">依据</w:t>
            </w:r>
          </w:p>
        </w:tc>
      </w:tr>
      <w:tr>
        <w:tc>
          <w:tcPr>
            <w:tcW w:w="2144" w:type="dxa"/>
          </w:tcPr>
          <w:p>
            <w:pPr/>
            <w:r>
              <w:t xml:space="preserve">Looking Glass 的手指/手势控制只能靠外接 Leap Motion/Ultraleap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属实</w:t>
            </w:r>
            <w:r>
              <w:t xml:space="preserve">。官方开发文档只有 Ultraleap 一条路；老款 16" 是附送一只 Leap Motion，不是内置；Go 连触摸都没有，只有底座按钮</w:t>
            </w:r>
          </w:p>
        </w:tc>
        <w:tc>
          <w:tcPr>
            <w:tcW w:w="2296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LG Ultraleap 文档</w:t>
              </w:r>
            </w:hyperlink>
            <w:r>
              <w:t xml:space="preserve">、</w:t>
            </w:r>
            <w:hyperlink r:id="rId4" w:history="1">
              <w:r>
                <w:rPr>
                  <w:rStyle w:val="Hyperlink"/>
                </w:rPr>
                <w:t xml:space="preserve">LG 16" 页</w:t>
              </w:r>
            </w:hyperlink>
            <w:r>
              <w:t xml:space="preserve">、</w:t>
            </w:r>
            <w:hyperlink r:id="rId5" w:history="1">
              <w:r>
                <w:rPr>
                  <w:rStyle w:val="Hyperlink"/>
                </w:rPr>
                <w:t xml:space="preserve">New Atlas 评测</w:t>
              </w:r>
            </w:hyperlink>
          </w:p>
        </w:tc>
      </w:tr>
      <w:tr>
        <w:tc>
          <w:tcPr>
            <w:tcW w:w="2144" w:type="dxa"/>
          </w:tcPr>
          <w:p>
            <w:pPr/>
            <w:r>
              <w:t xml:space="preserve">Sony SRD 的手指控制只能靠外接 Ultraleap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基本属实，需改口径</w:t>
            </w:r>
            <w:r>
              <w:t xml:space="preserve">。SR1/SR2 都没有内置手势，视觉传感器只做脸和眼睛；我读到的 Sony 页面没有指定任何手部设备，开发者自己接 Ultraleap 或其他。应说“没有内置手势，靠第三方”，不宜说“只支持 Leap”</w:t>
            </w:r>
          </w:p>
        </w:tc>
        <w:tc>
          <w:tcPr>
            <w:tcW w:w="2296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Sony ELF-SR2 产品页</w:t>
              </w:r>
            </w:hyperlink>
            <w:r>
              <w:t xml:space="preserve">、</w:t>
            </w:r>
            <w:hyperlink r:id="rId7" w:history="1">
              <w:r>
                <w:rPr>
                  <w:rStyle w:val="Hyperlink"/>
                </w:rPr>
                <w:t xml:space="preserve">CGarchitect 评测</w:t>
              </w:r>
            </w:hyperlink>
          </w:p>
        </w:tc>
      </w:tr>
      <w:tr>
        <w:tc>
          <w:tcPr>
            <w:tcW w:w="2144" w:type="dxa"/>
          </w:tcPr>
          <w:p>
            <w:pPr/>
            <w:r>
              <w:t xml:space="preserve">两家的像大多在屏幕后面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一半对</w:t>
            </w:r>
            <w:r>
              <w:t xml:space="preserve">。两家都把内容放在一个跨过屏幕面的虚拟盒里，清晰度最高的是屏幕面本身。Sony 把屏斜放 45°，物体看起来站在屏上方，官方说“像就在你面前”，但从不给出屏深度数字，评测的感受是“看一个微缩模型”。Looking Glass 老款靠一块厚亚克力块制造“浮起来”的感觉，内容离零视差面越远越糊。准确说法：可用的出屏深度很浅，并未公开指标</w:t>
            </w:r>
          </w:p>
        </w:tc>
        <w:tc>
          <w:tcPr>
            <w:tcW w:w="2296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Sony 技术页</w:t>
              </w:r>
            </w:hyperlink>
            <w:r>
              <w:t xml:space="preserve">、</w:t>
            </w:r>
            <w:hyperlink r:id="rId9" w:history="1">
              <w:r>
                <w:rPr>
                  <w:rStyle w:val="Hyperlink"/>
                </w:rPr>
                <w:t xml:space="preserve">Sony 视觉设计指南</w:t>
              </w:r>
            </w:hyperlink>
            <w:r>
              <w:t xml:space="preserve">、</w:t>
            </w:r>
            <w:hyperlink r:id="rId10" w:history="1">
              <w:r>
                <w:rPr>
                  <w:rStyle w:val="Hyperlink"/>
                </w:rPr>
                <w:t xml:space="preserve">LG How it works</w:t>
              </w:r>
            </w:hyperlink>
          </w:p>
        </w:tc>
      </w:tr>
    </w:tbl>
    <w:p>
      <w:pPr>
        <w:pStyle w:val="Heading2"/>
      </w:pPr>
      <w:r>
        <w:t xml:space="preserve">两家真实参数</w:t>
      </w:r>
    </w:p>
    <w:p>
      <w:pPr/>
      <w:r>
        <w:t xml:space="preserve">Looking Glass Go 的透镜参数来自官方 Bridge SDK 文档里一台真机的标定 JSON，比广告数字可信；标 ≈ 的是我从公开参数算出来的。两家都不公开出屏深度。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67"/>
        <w:gridCol w:w="1396"/>
        <w:gridCol w:w="1994"/>
        <w:gridCol w:w="1180"/>
        <w:gridCol w:w="851"/>
        <w:gridCol w:w="835"/>
        <w:gridCol w:w="1170"/>
        <w:gridCol w:w="867"/>
      </w:tblGrid>
      <w:tr>
        <w:trPr>
          <w:tblHeader/>
        </w:trPr>
        <w:tc>
          <w:tcPr>
            <w:tcW w:w="1067" w:type="dxa"/>
            <w:shd w:val="clear" w:color="auto" w:fill="F2F2F2"/>
          </w:tcPr>
          <w:p>
            <w:pPr/>
            <w:r>
              <w:t xml:space="preserve">产品</w:t>
            </w:r>
          </w:p>
        </w:tc>
        <w:tc>
          <w:tcPr>
            <w:tcW w:w="1396" w:type="dxa"/>
            <w:shd w:val="clear" w:color="auto" w:fill="F2F2F2"/>
          </w:tcPr>
          <w:p>
            <w:pPr/>
            <w:r>
              <w:t xml:space="preserve">面板</w:t>
            </w:r>
          </w:p>
        </w:tc>
        <w:tc>
          <w:tcPr>
            <w:tcW w:w="1994" w:type="dxa"/>
            <w:shd w:val="clear" w:color="auto" w:fill="F2F2F2"/>
          </w:tcPr>
          <w:p>
            <w:pPr/>
            <w:r>
              <w:t xml:space="preserve">光学方案</w:t>
            </w:r>
          </w:p>
        </w:tc>
        <w:tc>
          <w:tcPr>
            <w:tcW w:w="1180" w:type="dxa"/>
            <w:shd w:val="clear" w:color="auto" w:fill="F2F2F2"/>
          </w:tcPr>
          <w:p>
            <w:pPr/>
            <w:r>
              <w:t xml:space="preserve">视点 / 视角</w:t>
            </w:r>
          </w:p>
        </w:tc>
        <w:tc>
          <w:tcPr>
            <w:tcW w:w="851" w:type="dxa"/>
            <w:shd w:val="clear" w:color="auto" w:fill="F2F2F2"/>
          </w:tcPr>
          <w:p>
            <w:pPr/>
            <w:r>
              <w:t xml:space="preserve">观看距离与人数</w:t>
            </w:r>
          </w:p>
        </w:tc>
        <w:tc>
          <w:tcPr>
            <w:tcW w:w="835" w:type="dxa"/>
            <w:shd w:val="clear" w:color="auto" w:fill="F2F2F2"/>
          </w:tcPr>
          <w:p>
            <w:pPr/>
            <w:r>
              <w:t xml:space="preserve">亮度 / 刷新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交互</w:t>
            </w:r>
          </w:p>
        </w:tc>
        <w:tc>
          <w:tcPr>
            <w:tcW w:w="867" w:type="dxa"/>
            <w:shd w:val="clear" w:color="auto" w:fill="F2F2F2"/>
          </w:tcPr>
          <w:p>
            <w:pPr/>
            <w:r>
              <w:t xml:space="preserve">价格 (USD)</w:t>
            </w:r>
          </w:p>
        </w:tc>
      </w:tr>
      <w:tr>
        <w:tc>
          <w:tcPr>
            <w:tcW w:w="1067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Looking Glass Go</w:t>
              </w:r>
            </w:hyperlink>
          </w:p>
        </w:tc>
        <w:tc>
          <w:tcPr>
            <w:tcW w:w="1396" w:type="dxa"/>
          </w:tcPr>
          <w:p>
            <w:pPr/>
            <w:r>
              <w:t xml:space="preserve">6"，1440×2560，491 dpi（像素 ≈ 51.7 µm），厚 6.2 mm</w:t>
            </w:r>
          </w:p>
        </w:tc>
        <w:tc>
          <w:tcPr>
            <w:tcW w:w="1994" w:type="dxa"/>
          </w:tcPr>
          <w:p>
            <w:pPr/>
            <w:r>
              <w:t xml:space="preserve">斜置柱透镜，pitch 80.76/inch（≈ 0.315 mm），slope −6.62（≈ 8.6° 斜角），不追踪</w:t>
            </w:r>
          </w:p>
        </w:tc>
        <w:tc>
          <w:tcPr>
            <w:tcW w:w="1180" w:type="dxa"/>
          </w:tcPr>
          <w:p>
            <w:pPr/>
            <w:r>
              <w:t xml:space="preserve">quilt 66 视点，标定视锥 54°（宣传 58°）；每视点 ≈ 5.6 万像素</w:t>
            </w:r>
          </w:p>
        </w:tc>
        <w:tc>
          <w:tcPr>
            <w:tcW w:w="851" w:type="dxa"/>
          </w:tcPr>
          <w:p>
            <w:pPr/>
            <w:r>
              <w:t xml:space="preserve">25–30 cm 最佳，多人同时</w:t>
            </w:r>
          </w:p>
        </w:tc>
        <w:tc>
          <w:tcPr>
            <w:tcW w:w="835" w:type="dxa"/>
          </w:tcPr>
          <w:p>
            <w:pPr/>
            <w:r>
              <w:t xml:space="preserve">未公开 / 60 Hz</w:t>
            </w:r>
          </w:p>
        </w:tc>
        <w:tc>
          <w:tcPr>
            <w:tcW w:w="1170" w:type="dxa"/>
          </w:tcPr>
          <w:p>
            <w:pPr/>
            <w:r>
              <w:t xml:space="preserve">无触摸，只有按钮；AI：2D→3D 转换、Liteforms GPT 角色</w:t>
            </w:r>
          </w:p>
        </w:tc>
        <w:tc>
          <w:tcPr>
            <w:tcW w:w="867" w:type="dxa"/>
          </w:tcPr>
          <w:p>
            <w:pPr/>
            <w:r>
              <w:t xml:space="preserve">299</w:t>
            </w:r>
          </w:p>
        </w:tc>
      </w:tr>
      <w:tr>
        <w:tc>
          <w:tcPr>
            <w:tcW w:w="1067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Looking Glass Portrait</w:t>
              </w:r>
            </w:hyperlink>
          </w:p>
        </w:tc>
        <w:tc>
          <w:tcPr>
            <w:tcW w:w="1396" w:type="dxa"/>
          </w:tcPr>
          <w:p>
            <w:pPr/>
            <w:r>
              <w:t xml:space="preserve">7.9"</w:t>
            </w:r>
          </w:p>
        </w:tc>
        <w:tc>
          <w:tcPr>
            <w:tcW w:w="1994" w:type="dxa"/>
          </w:tcPr>
          <w:p>
            <w:pPr/>
            <w:r>
              <w:t xml:space="preserve">柱透镜 + 厚亚克力光学块</w:t>
            </w:r>
          </w:p>
        </w:tc>
        <w:tc>
          <w:tcPr>
            <w:tcW w:w="1180" w:type="dxa"/>
          </w:tcPr>
          <w:p>
            <w:pPr/>
            <w:r>
              <w:t xml:space="preserve">quilt 48 视点，58°</w:t>
            </w:r>
          </w:p>
        </w:tc>
        <w:tc>
          <w:tcPr>
            <w:tcW w:w="851" w:type="dxa"/>
          </w:tcPr>
          <w:p>
            <w:pPr/>
            <w:r>
              <w:t xml:space="preserve">多人</w:t>
            </w:r>
          </w:p>
        </w:tc>
        <w:tc>
          <w:tcPr>
            <w:tcW w:w="835" w:type="dxa"/>
          </w:tcPr>
          <w:p>
            <w:pPr/>
            <w:r>
              <w:t xml:space="preserve">未公开</w:t>
            </w:r>
          </w:p>
        </w:tc>
        <w:tc>
          <w:tcPr>
            <w:tcW w:w="1170" w:type="dxa"/>
          </w:tcPr>
          <w:p>
            <w:pPr/>
            <w:r>
              <w:t xml:space="preserve">外接 Ultraleap</w:t>
            </w:r>
          </w:p>
        </w:tc>
        <w:tc>
          <w:tcPr>
            <w:tcW w:w="86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067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Looking Glass HLD</w:t>
              </w:r>
            </w:hyperlink>
            <w:r>
              <w:t xml:space="preserve">（2026 新品）</w:t>
            </w:r>
          </w:p>
        </w:tc>
        <w:tc>
          <w:tcPr>
            <w:tcW w:w="1396" w:type="dxa"/>
          </w:tcPr>
          <w:p>
            <w:pPr/>
            <w:r>
              <w:t xml:space="preserve">16"/27"/86"，厚 1.7/2.2/≈5 cm</w:t>
            </w:r>
          </w:p>
        </w:tc>
        <w:tc>
          <w:tcPr>
            <w:tcW w:w="1994" w:type="dxa"/>
          </w:tcPr>
          <w:p>
            <w:pPr/>
            <w:r>
              <w:t xml:space="preserve">固定蚀刻的“全息背景体积”+ 普通 2D 视频，无眼动追踪</w:t>
            </w:r>
          </w:p>
        </w:tc>
        <w:tc>
          <w:tcPr>
            <w:tcW w:w="1180" w:type="dxa"/>
          </w:tcPr>
          <w:p>
            <w:pPr/>
            <w:r>
              <w:t xml:space="preserve">不是真多视点</w:t>
            </w:r>
          </w:p>
        </w:tc>
        <w:tc>
          <w:tcPr>
            <w:tcW w:w="851" w:type="dxa"/>
          </w:tcPr>
          <w:p>
            <w:pPr/>
            <w:r>
              <w:t xml:space="preserve">十几人同时</w:t>
            </w:r>
          </w:p>
        </w:tc>
        <w:tc>
          <w:tcPr>
            <w:tcW w:w="835" w:type="dxa"/>
          </w:tcPr>
          <w:p>
            <w:pPr/>
            <w:r>
              <w:t xml:space="preserve">未公开</w:t>
            </w:r>
          </w:p>
        </w:tc>
        <w:tc>
          <w:tcPr>
            <w:tcW w:w="1170" w:type="dxa"/>
          </w:tcPr>
          <w:p>
            <w:pPr/>
            <w:r>
              <w:t xml:space="preserve">无</w:t>
            </w:r>
          </w:p>
        </w:tc>
        <w:tc>
          <w:tcPr>
            <w:tcW w:w="867" w:type="dxa"/>
          </w:tcPr>
          <w:p>
            <w:pPr/>
            <w:r>
              <w:t xml:space="preserve">2k / 4k / 20k</w:t>
            </w:r>
          </w:p>
        </w:tc>
      </w:tr>
      <w:tr>
        <w:tc>
          <w:tcPr>
            <w:tcW w:w="1067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Sony ELF-SR1</w:t>
              </w:r>
            </w:hyperlink>
          </w:p>
        </w:tc>
        <w:tc>
          <w:tcPr>
            <w:tcW w:w="1396" w:type="dxa"/>
          </w:tcPr>
          <w:p>
            <w:pPr/>
            <w:r>
              <w:t xml:space="preserve">15.6" 4K LCD（像素 ≈ 90 µm），斜放 45°</w:t>
            </w:r>
          </w:p>
        </w:tc>
        <w:tc>
          <w:tcPr>
            <w:tcW w:w="1994" w:type="dxa"/>
          </w:tcPr>
          <w:p>
            <w:pPr/>
            <w:r>
              <w:t xml:space="preserve">高速视觉传感器跟眼 + 微光学透镜（为 2 眼设计，加“伪视点”）</w:t>
            </w:r>
          </w:p>
        </w:tc>
        <w:tc>
          <w:tcPr>
            <w:tcW w:w="1180" w:type="dxa"/>
          </w:tcPr>
          <w:p>
            <w:pPr/>
            <w:r>
              <w:t xml:space="preserve">水平 ±25°，垂直 +20°/−40°</w:t>
            </w:r>
          </w:p>
        </w:tc>
        <w:tc>
          <w:tcPr>
            <w:tcW w:w="851" w:type="dxa"/>
          </w:tcPr>
          <w:p>
            <w:pPr/>
            <w:r>
              <w:t xml:space="preserve">30–75 cm，1 人</w:t>
            </w:r>
          </w:p>
        </w:tc>
        <w:tc>
          <w:tcPr>
            <w:tcW w:w="835" w:type="dxa"/>
          </w:tcPr>
          <w:p>
            <w:pPr/>
            <w:r>
              <w:t xml:space="preserve">500 nits / 内容需 ≥ 60 fps</w:t>
            </w:r>
          </w:p>
        </w:tc>
        <w:tc>
          <w:tcPr>
            <w:tcW w:w="1170" w:type="dxa"/>
          </w:tcPr>
          <w:p>
            <w:pPr/>
            <w:r>
              <w:t xml:space="preserve">无内置</w:t>
            </w:r>
          </w:p>
        </w:tc>
        <w:tc>
          <w:tcPr>
            <w:tcW w:w="867" w:type="dxa"/>
          </w:tcPr>
          <w:p>
            <w:pPr/>
            <w:r>
              <w:t xml:space="preserve">4,999</w:t>
            </w:r>
          </w:p>
        </w:tc>
      </w:tr>
      <w:tr>
        <w:tc>
          <w:tcPr>
            <w:tcW w:w="1067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Sony ELF-SR2</w:t>
              </w:r>
            </w:hyperlink>
          </w:p>
        </w:tc>
        <w:tc>
          <w:tcPr>
            <w:tcW w:w="1396" w:type="dxa"/>
          </w:tcPr>
          <w:p>
            <w:pPr/>
            <w:r>
              <w:t xml:space="preserve">27" 4K LCD（像素 ≈ 156 µm），64 W</w:t>
            </w:r>
          </w:p>
        </w:tc>
        <w:tc>
          <w:tcPr>
            <w:tcW w:w="1994" w:type="dxa"/>
          </w:tcPr>
          <w:p>
            <w:pPr/>
            <w:r>
              <w:t xml:space="preserve">同上，第二代传感器；显示器端做串扰校正和超分</w:t>
            </w:r>
          </w:p>
        </w:tc>
        <w:tc>
          <w:tcPr>
            <w:tcW w:w="1180" w:type="dxa"/>
          </w:tcPr>
          <w:p>
            <w:pPr/>
            <w:r>
              <w:t xml:space="preserve">未公开度数</w:t>
            </w:r>
          </w:p>
        </w:tc>
        <w:tc>
          <w:tcPr>
            <w:tcW w:w="851" w:type="dxa"/>
          </w:tcPr>
          <w:p>
            <w:pPr/>
            <w:r>
              <w:t xml:space="preserve">2 人轮流切换（固件 1.20+）</w:t>
            </w:r>
          </w:p>
        </w:tc>
        <w:tc>
          <w:tcPr>
            <w:tcW w:w="835" w:type="dxa"/>
          </w:tcPr>
          <w:p>
            <w:pPr/>
            <w:r>
              <w:t xml:space="preserve">400 nits / 60 Hz，响应 14 ms</w:t>
            </w:r>
          </w:p>
        </w:tc>
        <w:tc>
          <w:tcPr>
            <w:tcW w:w="1170" w:type="dxa"/>
          </w:tcPr>
          <w:p>
            <w:pPr/>
            <w:r>
              <w:t xml:space="preserve">无内置</w:t>
            </w:r>
          </w:p>
        </w:tc>
        <w:tc>
          <w:tcPr>
            <w:tcW w:w="867" w:type="dxa"/>
          </w:tcPr>
          <w:p>
            <w:pPr/>
            <w:r>
              <w:t xml:space="preserve">4,750</w:t>
            </w:r>
          </w:p>
        </w:tc>
      </w:tr>
    </w:tbl>
    <w:p>
      <w:pPr/>
      <w:r>
        <w:t xml:space="preserve">Sony 公开过的工艺细节：透镜与面板的贴合精度只有“几十微米”，剩余对位误差在实时图像处理里补掉；传感器“每几毫秒”拍一帧，用神经网络求人脸 3D 姿态，戴口罩也能跟（</w:t>
      </w:r>
      <w:hyperlink r:id="rId8" w:history="1">
        <w:r>
          <w:rPr>
            <w:rStyle w:val="Hyperlink"/>
          </w:rPr>
          <w:t xml:space="preserve">来源</w:t>
        </w:r>
      </w:hyperlink>
      <w:r>
        <w:t xml:space="preserve">）。</w:t>
      </w:r>
    </w:p>
    <w:p>
      <w:pPr>
        <w:pStyle w:val="Heading2"/>
      </w:pPr>
      <w:r>
        <w:t xml:space="preserve">渲染管线与 SDK</w:t>
      </w:r>
    </w:p>
    <w:p>
      <w:pPr/>
      <w:r>
        <w:t xml:space="preserve">两条管线代表两种哲学：Looking Glass 每帧把所有视点都画出来扔给透镜，Sony 只画眼睛真正收到的那两束。AETHER-1 走的是 Sony 这条路。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16"/>
        <w:gridCol w:w="4761"/>
        <w:gridCol w:w="3483"/>
      </w:tblGrid>
      <w:tr>
        <w:trPr>
          <w:tblHeader/>
        </w:trPr>
        <w:tc>
          <w:tcPr>
            <w:tcW w:w="1116" w:type="dxa"/>
            <w:shd w:val="clear" w:color="auto" w:fill="F2F2F2"/>
          </w:tcPr>
          <w:p>
            <w:pPr/>
          </w:p>
        </w:tc>
        <w:tc>
          <w:tcPr>
            <w:tcW w:w="4761" w:type="dxa"/>
            <w:shd w:val="clear" w:color="auto" w:fill="F2F2F2"/>
          </w:tcPr>
          <w:p>
            <w:pPr/>
            <w:r>
              <w:t xml:space="preserve">Looking Glass</w:t>
            </w:r>
          </w:p>
        </w:tc>
        <w:tc>
          <w:tcPr>
            <w:tcW w:w="3483" w:type="dxa"/>
            <w:shd w:val="clear" w:color="auto" w:fill="F2F2F2"/>
          </w:tcPr>
          <w:p>
            <w:pPr/>
            <w:r>
              <w:t xml:space="preserve">Sony SRD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每帧渲染</w:t>
            </w:r>
          </w:p>
        </w:tc>
        <w:tc>
          <w:tcPr>
            <w:tcW w:w="4761" w:type="dxa"/>
          </w:tcPr>
          <w:p>
            <w:pPr/>
            <w:r>
              <w:t xml:space="preserve">N 个离轴视点（Go 66 个）拼成一张 quilt，再用标定参数交织到子像素</w:t>
            </w:r>
          </w:p>
        </w:tc>
        <w:tc>
          <w:tcPr>
            <w:tcW w:w="3483" w:type="dxa"/>
          </w:tcPr>
          <w:p>
            <w:pPr/>
            <w:r>
              <w:t xml:space="preserve">按追踪到的左右眼位置做两次离轴透视，只算“到达眼睛的那些光线”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内容格式</w:t>
            </w:r>
          </w:p>
        </w:tc>
        <w:tc>
          <w:tcPr>
            <w:tcW w:w="4761" w:type="dxa"/>
          </w:tcPr>
          <w:p>
            <w:pPr/>
            <w:r>
              <w:t xml:space="preserve">quilt：左下是最左视点，右上是最右；文件名 </w:t>
            </w:r>
            <w:r>
              <w:rPr>
                <w:rStyle w:val="CodeChar"/>
              </w:rPr>
              <w:t xml:space="preserve">name_qs11x6a0.5625</w:t>
            </w:r>
            <w:r>
              <w:t xml:space="preserve"> 记录列×行和宽高比</w:t>
            </w:r>
          </w:p>
        </w:tc>
        <w:tc>
          <w:tcPr>
            <w:tcW w:w="3483" w:type="dxa"/>
          </w:tcPr>
          <w:p>
            <w:pPr/>
            <w:r>
              <w:t xml:space="preserve">没有交换格式，内容必须是实时 3D 场景（Unity / Unreal 插件）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每台标定</w:t>
            </w:r>
          </w:p>
        </w:tc>
        <w:tc>
          <w:tcPr>
            <w:tcW w:w="4761" w:type="dxa"/>
          </w:tcPr>
          <w:p>
            <w:pPr/>
            <w:r>
              <w:t xml:space="preserve">Bridge 返回每台序列号的 </w:t>
            </w:r>
            <w:r>
              <w:rPr>
                <w:rStyle w:val="CodeChar"/>
              </w:rPr>
              <w:t xml:space="preserve">pitch</w:t>
            </w:r>
            <w:r>
              <w:t xml:space="preserve"> </w:t>
            </w:r>
            <w:r>
              <w:rPr>
                <w:rStyle w:val="CodeChar"/>
              </w:rPr>
              <w:t xml:space="preserve">slope</w:t>
            </w:r>
            <w:r>
              <w:t xml:space="preserve"> </w:t>
            </w:r>
            <w:r>
              <w:rPr>
                <w:rStyle w:val="CodeChar"/>
              </w:rPr>
              <w:t xml:space="preserve">center</w:t>
            </w:r>
            <w:r>
              <w:t xml:space="preserve"> </w:t>
            </w:r>
            <w:r>
              <w:rPr>
                <w:rStyle w:val="CodeChar"/>
              </w:rPr>
              <w:t xml:space="preserve">viewCone</w:t>
            </w:r>
            <w:r>
              <w:t xml:space="preserve"> </w:t>
            </w:r>
            <w:r>
              <w:rPr>
                <w:rStyle w:val="CodeChar"/>
              </w:rPr>
              <w:t xml:space="preserve">DPI</w:t>
            </w:r>
            <w:r>
              <w:t xml:space="preserve"> </w:t>
            </w:r>
            <w:r>
              <w:rPr>
                <w:rStyle w:val="CodeChar"/>
              </w:rPr>
              <w:t xml:space="preserve">invView</w:t>
            </w:r>
            <w:r>
              <w:t xml:space="preserve"> 等</w:t>
            </w:r>
          </w:p>
        </w:tc>
        <w:tc>
          <w:tcPr>
            <w:tcW w:w="3483" w:type="dxa"/>
          </w:tcPr>
          <w:p>
            <w:pPr/>
            <w:r>
              <w:t xml:space="preserve">透镜对位误差在显示管线里实时补偿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画质控制</w:t>
            </w:r>
          </w:p>
        </w:tc>
        <w:tc>
          <w:tcPr>
            <w:tcW w:w="4761" w:type="dxa"/>
          </w:tcPr>
          <w:p>
            <w:pPr/>
            <w:r>
              <w:rPr>
                <w:rStyle w:val="CodeChar"/>
              </w:rPr>
              <w:t xml:space="preserve">depthiness</w:t>
            </w:r>
            <w:r>
              <w:t xml:space="preserve"> 控制视差强度；建议主体放零视差面、用景深模糊掩盖视点间跳变</w:t>
            </w:r>
          </w:p>
        </w:tc>
        <w:tc>
          <w:tcPr>
            <w:tcW w:w="3483" w:type="dxa"/>
          </w:tcPr>
          <w:p>
            <w:pPr/>
            <w:r>
              <w:t xml:space="preserve">串扰校正三档：只校中间调（像素值 23–234）、全调、局部分析高精度；SR2 移到显示器硬件里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网页支持</w:t>
            </w:r>
          </w:p>
        </w:tc>
        <w:tc>
          <w:tcPr>
            <w:tcW w:w="4761" w:type="dxa"/>
          </w:tcPr>
          <w:p>
            <w:pPr/>
            <w:r>
              <w:rPr>
                <w:rStyle w:val="CodeChar"/>
              </w:rPr>
              <w:t xml:space="preserve">@lookingglass/webxr</w:t>
            </w:r>
            <w:r>
              <w:t xml:space="preserve">，兼容 three.js r141+，参数 </w:t>
            </w:r>
            <w:r>
              <w:rPr>
                <w:rStyle w:val="CodeChar"/>
              </w:rPr>
              <w:t xml:space="preserve">targetDiam</w:t>
            </w:r>
            <w:r>
              <w:t xml:space="preserve"> </w:t>
            </w:r>
            <w:r>
              <w:rPr>
                <w:rStyle w:val="CodeChar"/>
              </w:rPr>
              <w:t xml:space="preserve">fovy</w:t>
            </w:r>
            <w:r>
              <w:t xml:space="preserve"> </w:t>
            </w:r>
            <w:r>
              <w:rPr>
                <w:rStyle w:val="CodeChar"/>
              </w:rPr>
              <w:t xml:space="preserve">depthiness</w:t>
            </w:r>
            <w:r>
              <w:t xml:space="preserve"> </w:t>
            </w:r>
            <w:r>
              <w:rPr>
                <w:rStyle w:val="CodeChar"/>
              </w:rPr>
              <w:t xml:space="preserve">numViews</w:t>
            </w:r>
            <w:r>
              <w:t xml:space="preserve"> </w:t>
            </w:r>
            <w:r>
              <w:rPr>
                <w:rStyle w:val="CodeChar"/>
              </w:rPr>
              <w:t xml:space="preserve">tileHeight</w:t>
            </w:r>
          </w:p>
        </w:tc>
        <w:tc>
          <w:tcPr>
            <w:tcW w:w="3483" w:type="dxa"/>
          </w:tcPr>
          <w:p>
            <w:pPr/>
            <w:r>
              <w:t xml:space="preserve">无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算力</w:t>
            </w:r>
          </w:p>
        </w:tc>
        <w:tc>
          <w:tcPr>
            <w:tcW w:w="4761" w:type="dxa"/>
          </w:tcPr>
          <w:p>
            <w:pPr/>
            <w:r>
              <w:t xml:space="preserve">quilt 一般 4K–8K 纹理</w:t>
            </w:r>
          </w:p>
        </w:tc>
        <w:tc>
          <w:tcPr>
            <w:tcW w:w="3483" w:type="dxa"/>
          </w:tcPr>
          <w:p>
            <w:pPr/>
            <w:r>
              <w:t xml:space="preserve">评测机 RTX 2070S 跑多数 demo CPU/GPU 全满</w:t>
            </w:r>
          </w:p>
        </w:tc>
      </w:tr>
    </w:tbl>
    <w:p>
      <w:pPr/>
      <w:r>
        <w:t xml:space="preserve">两家的画质头号问题都是串扰（重影）：快速移动头部和前后物体亮度/饱和度差大时最明显，只能减轻不能消除。Sony 的“只校 23–234”说明预补偿靠减去漏光，纯黑不能再减、纯白不能再加，所以两端校不了。</w:t>
      </w:r>
    </w:p>
    <w:p>
      <w:pPr>
        <w:pStyle w:val="Heading2"/>
      </w:pPr>
      <w:r>
        <w:t xml:space="preserve">对 AETHER 物理定律的印证</w:t>
      </w:r>
    </w:p>
    <w:p>
      <w:pPr/>
      <w:r>
        <w:t xml:space="preserve">六条定律都被两家的量产产品印证，没有一条被推翻。唯一看起来像“突破”的 Looking Glass 高折射率光学块，算下来是很小的像移加心理暗示。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97"/>
        <w:gridCol w:w="4024"/>
        <w:gridCol w:w="2639"/>
      </w:tblGrid>
      <w:tr>
        <w:trPr>
          <w:tblHeader/>
        </w:trPr>
        <w:tc>
          <w:tcPr>
            <w:tcW w:w="2697" w:type="dxa"/>
            <w:shd w:val="clear" w:color="auto" w:fill="F2F2F2"/>
          </w:tcPr>
          <w:p>
            <w:pPr/>
            <w:r>
              <w:t xml:space="preserve">AETHER 的定律</w:t>
            </w:r>
          </w:p>
        </w:tc>
        <w:tc>
          <w:tcPr>
            <w:tcW w:w="4024" w:type="dxa"/>
            <w:shd w:val="clear" w:color="auto" w:fill="F2F2F2"/>
          </w:tcPr>
          <w:p>
            <w:pPr/>
            <w:r>
              <w:t xml:space="preserve">两家的实际表现</w:t>
            </w:r>
          </w:p>
        </w:tc>
        <w:tc>
          <w:tcPr>
            <w:tcW w:w="2639" w:type="dxa"/>
            <w:shd w:val="clear" w:color="auto" w:fill="F2F2F2"/>
          </w:tcPr>
          <w:p>
            <w:pPr/>
            <w:r>
              <w:t xml:space="preserve">结论</w:t>
            </w:r>
          </w:p>
        </w:tc>
      </w:tr>
      <w:tr>
        <w:tc>
          <w:tcPr>
            <w:tcW w:w="2697" w:type="dxa"/>
          </w:tcPr>
          <w:p>
            <w:pPr/>
            <w:r>
              <w:t xml:space="preserve">光场模糊律：离屏越远，体素越糊，斜率 = 每只眼睛收到的光束角宽</w:t>
            </w:r>
          </w:p>
        </w:tc>
        <w:tc>
          <w:tcPr>
            <w:tcW w:w="4024" w:type="dxa"/>
          </w:tcPr>
          <w:p>
            <w:pPr/>
            <w:r>
              <w:t xml:space="preserve">Go 每视点 54°/66 ≈ 0.82°，官方说一只眼睛同时看到约 5 个相邻视点，即 ≈ 4°。加上 0.315 mm 透镜周期，出屏 10 mm 处模糊 ≈ 1 mm，24 mm 处 ≈ 2 mm。所以官方反复强调“主体放零视差面”</w:t>
            </w:r>
          </w:p>
        </w:tc>
        <w:tc>
          <w:tcPr>
            <w:tcW w:w="2639" w:type="dxa"/>
          </w:tcPr>
          <w:p>
            <w:pPr/>
            <w:r>
              <w:rPr>
                <w:b/>
              </w:rPr>
              <w:t xml:space="preserve">印证</w:t>
            </w:r>
            <w:r>
              <w:t xml:space="preserve">。不追踪的柱镜只有约 ±1 cm 清晰深度，这就是 AETHER 必须窄光束 + 眼动追踪的原因（定理 4 的 ≤ 1.5λ 光束展量）</w:t>
            </w:r>
          </w:p>
        </w:tc>
      </w:tr>
      <w:tr>
        <w:tc>
          <w:tcPr>
            <w:tcW w:w="2697" w:type="dxa"/>
          </w:tcPr>
          <w:p>
            <w:pPr/>
            <w:r>
              <w:t xml:space="preserve">孔径锥定律 tanθ ≤ (W/2)/h</w:t>
            </w:r>
          </w:p>
        </w:tc>
        <w:tc>
          <w:tcPr>
            <w:tcW w:w="4024" w:type="dxa"/>
          </w:tcPr>
          <w:p>
            <w:pPr/>
            <w:r>
              <w:t xml:space="preserve">Sony 要求内容留在“View Space”盒内，超出就用暗角掩盖；文字要放在前下方，否则某些角度看不到</w:t>
            </w:r>
          </w:p>
        </w:tc>
        <w:tc>
          <w:tcPr>
            <w:tcW w:w="2639" w:type="dxa"/>
          </w:tcPr>
          <w:p>
            <w:pPr/>
            <w:r>
              <w:rPr>
                <w:b/>
              </w:rPr>
              <w:t xml:space="preserve">印证</w:t>
            </w:r>
            <w:r>
              <w:t xml:space="preserve">。他们的“视空间盒”就是我们的孔径锥在工程上的写法</w:t>
            </w:r>
          </w:p>
        </w:tc>
      </w:tr>
      <w:tr>
        <w:tc>
          <w:tcPr>
            <w:tcW w:w="2697" w:type="dxa"/>
          </w:tcPr>
          <w:p>
            <w:pPr/>
            <w:r>
              <w:t xml:space="preserve">定理 5：同时观看人数 ≤ ΣDOF·f/(P_view·60)</w:t>
            </w:r>
          </w:p>
        </w:tc>
        <w:tc>
          <w:tcPr>
            <w:tcW w:w="4024" w:type="dxa"/>
          </w:tcPr>
          <w:p>
            <w:pPr/>
            <w:r>
              <w:t xml:space="preserve">Sony 60 Hz LCD 只能 1 人；SR2 的“2 人”是轮流切换，追踪器在两人间会“不知道跟谁”</w:t>
            </w:r>
          </w:p>
        </w:tc>
        <w:tc>
          <w:tcPr>
            <w:tcW w:w="2639" w:type="dxa"/>
          </w:tcPr>
          <w:p>
            <w:pPr/>
            <w:r>
              <w:rPr>
                <w:b/>
              </w:rPr>
              <w:t xml:space="preserve">印证</w:t>
            </w:r>
            <w:r>
              <w:t xml:space="preserve">。f = 60 Hz 时定理给出 1 人，完全吻合；AETHER-1 用 240 Hz 4 时隙才能 2 人</w:t>
            </w:r>
          </w:p>
        </w:tc>
      </w:tr>
      <w:tr>
        <w:tc>
          <w:tcPr>
            <w:tcW w:w="2697" w:type="dxa"/>
          </w:tcPr>
          <w:p>
            <w:pPr/>
            <w:r>
              <w:t xml:space="preserve">静态多视点的分辨率代价 = 面板像素 / 视点数</w:t>
            </w:r>
          </w:p>
        </w:tc>
        <w:tc>
          <w:tcPr>
            <w:tcW w:w="4024" w:type="dxa"/>
          </w:tcPr>
          <w:p>
            <w:pPr/>
            <w:r>
              <w:t xml:space="preserve">Go 369 万像素 / 66 ≈ 5.6 万像素每视点；评测一致说“立体感降低清晰度”。Sony 也有纱窗效应</w:t>
            </w:r>
          </w:p>
        </w:tc>
        <w:tc>
          <w:tcPr>
            <w:tcW w:w="2639" w:type="dxa"/>
          </w:tcPr>
          <w:p>
            <w:pPr/>
            <w:r>
              <w:rPr>
                <w:b/>
              </w:rPr>
              <w:t xml:space="preserve">印证</w:t>
            </w:r>
            <w:r>
              <w:t xml:space="preserve">。卡片面积只有 Go 的约一半（4,622 vs 9,920 mm²），照搬静态多视点会更糊</w:t>
            </w:r>
          </w:p>
        </w:tc>
      </w:tr>
      <w:tr>
        <w:tc>
          <w:tcPr>
            <w:tcW w:w="2697" w:type="dxa"/>
          </w:tcPr>
          <w:p>
            <w:pPr/>
            <w:r>
              <w:t xml:space="preserve">定理 3/4：调节–辐辏冲突窗口，Gen-1 浮深 ≤ 40 mm</w:t>
            </w:r>
          </w:p>
        </w:tc>
        <w:tc>
          <w:tcPr>
            <w:tcW w:w="4024" w:type="dxa"/>
          </w:tcPr>
          <w:p>
            <w:pPr/>
            <w:r>
              <w:t xml:space="preserve">两家都把焦点放在屏面，都不公布出屏深度；Sony 警告快速移动相机会导致晕和眼疲劳</w:t>
            </w:r>
          </w:p>
        </w:tc>
        <w:tc>
          <w:tcPr>
            <w:tcW w:w="2639" w:type="dxa"/>
          </w:tcPr>
          <w:p>
            <w:pPr/>
            <w:r>
              <w:rPr>
                <w:b/>
              </w:rPr>
              <w:t xml:space="preserve">印证</w:t>
            </w:r>
            <w:r>
              <w:t xml:space="preserve">。他们在我们算出的舒适窗口内做产品，并没有更深的办法</w:t>
            </w:r>
          </w:p>
        </w:tc>
      </w:tr>
      <w:tr>
        <w:tc>
          <w:tcPr>
            <w:tcW w:w="2697" w:type="dxa"/>
          </w:tcPr>
          <w:p>
            <w:pPr/>
            <w:r>
              <w:t xml:space="preserve">亮度瓶颈在发光器峰值</w:t>
            </w:r>
          </w:p>
        </w:tc>
        <w:tc>
          <w:tcPr>
            <w:tcW w:w="4024" w:type="dxa"/>
          </w:tcPr>
          <w:p>
            <w:pPr/>
            <w:r>
              <w:t xml:space="preserve">Sony 面板 400–500 nits，建议暗室；Go 不公布亮度</w:t>
            </w:r>
          </w:p>
        </w:tc>
        <w:tc>
          <w:tcPr>
            <w:tcW w:w="2639" w:type="dxa"/>
          </w:tcPr>
          <w:p>
            <w:pPr/>
            <w:r>
              <w:rPr>
                <w:b/>
              </w:rPr>
              <w:t xml:space="preserve">印证</w:t>
            </w:r>
            <w:r>
              <w:t xml:space="preserve">。没人做户外</w:t>
            </w:r>
          </w:p>
        </w:tc>
      </w:tr>
      <w:tr>
        <w:tc>
          <w:tcPr>
            <w:tcW w:w="2697" w:type="dxa"/>
          </w:tcPr>
          <w:p>
            <w:pPr/>
            <w:r>
              <w:t xml:space="preserve">（看似反例）高折射率光学块让像“浮出来”，专利要求 n ≥ 1.4</w:t>
            </w:r>
          </w:p>
        </w:tc>
        <w:tc>
          <w:tcPr>
            <w:tcW w:w="4024" w:type="dxa"/>
          </w:tcPr>
          <w:p>
            <w:pPr/>
            <w:r>
              <w:t xml:space="preserve">厚 t、折射率 n 的平板只把像前移 t(1−1/n)；卡片里 3 mm 亚克力只移 ≈ 1 mm。剩下的效果来自侧面标记、不透明外壳这些心理线索</w:t>
            </w:r>
          </w:p>
        </w:tc>
        <w:tc>
          <w:tcPr>
            <w:tcW w:w="2639" w:type="dxa"/>
          </w:tcPr>
          <w:p>
            <w:pPr/>
            <w:r>
              <w:rPr>
                <w:b/>
              </w:rPr>
              <w:t xml:space="preserve">不反驳</w:t>
            </w:r>
            <w:r>
              <w:t xml:space="preserve">。光学上可忽略，心理线索部分可以借（见下节）</w:t>
            </w:r>
          </w:p>
        </w:tc>
      </w:tr>
    </w:tbl>
    <w:p>
      <w:pPr>
        <w:pStyle w:val="Heading2"/>
      </w:pPr>
      <w:r>
        <w:t xml:space="preserve">可以借的东西</w:t>
      </w:r>
    </w:p>
    <w:p>
      <w:pPr/>
      <w:r>
        <w:t xml:space="preserve">最值钱的一条是发现了一个我们之前漏掉的风险：SR2 的 LCD 响应 14 ms，而 AETHER-1 的 240 Hz 4 时隙每隙只有 4.17 ms，普通 LCD 做不到，必须在 Gen-1 BOM 里指定快速液晶（OCB/FLC 类，响应 ≤ 1–2 ms）。</w:t>
      </w:r>
    </w:p>
    <w:p>
      <w:pPr>
        <w:pStyle w:val="Heading3"/>
      </w:pPr>
      <w:r>
        <w:t xml:space="preserve">Gen-1 硬件与量产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逐台标定代替精密贴合。</w:t>
      </w:r>
      <w:r>
        <w:t xml:space="preserve"> Sony 贴合精度只有几十 µm，靠实时补偿；Looking Glass 每台出厂写入 </w:t>
      </w:r>
      <w:r>
        <w:rPr>
          <w:rStyle w:val="CodeChar"/>
        </w:rPr>
        <w:t xml:space="preserve">pitch/slope/center</w:t>
      </w:r>
      <w:r>
        <w:t xml:space="preserve"> 标定 JSON。AETHER 的方向层、MLA、LCD 三层对位误差也应该用产线相机拍标定图、把偏移和旋转写进闪存，能明显拉高良率。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斜置透镜防摩尔纹。</w:t>
      </w:r>
      <w:r>
        <w:t xml:space="preserve"> Looking Glass 专利把柱镜对像素列斜放（Go 约 8.6°），把分辨率损失摊到两个方向。AETHER 有两层周期结构（方向层 + LCD），摩尔纹风险更大，MLA 与两层像素网格都应该错开一个小角度，并在仿真里扫角度。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串扰预补偿 + 留灰度余量。</w:t>
      </w:r>
      <w:r>
        <w:t xml:space="preserve"> 照 Sony 三档做：渲染时减去相邻时隙/相邻方向的漏光。因为黑不能再减，要给内容留一点灰度余量。AETHER 的挡光墙和时分复用是物理去串扰，软件补偿叠在上面。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跟踪丢失时优雅降级。</w:t>
      </w:r>
      <w:r>
        <w:t xml:space="preserve"> Looking Glass 专利写了对追踪数据阻尼和丢失时惯性推算；Sony 传感器能在暗光、戴口罩时跟眼。AETHER 应该：红外补光 + 全局快门传感器；丢失 &lt; 200 ms 时惯性推算，更久就退到“Looking Glass 模式”，在空闲时隙里放几个固定视点，而不是显示一张错的画面。同一办法也能给旁观者一个模糊但不歪的画面。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垂直视锥不对称。</w:t>
      </w:r>
      <w:r>
        <w:t xml:space="preserve"> Sony 垂直 +20°/−40°，因为桌面设备上人总是从上往下看。AETHER 的二维 MLA 可以把垂直视锥也往“下俯”方向偏置。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内容兼容 quilt。</w:t>
      </w:r>
      <w:r>
        <w:t xml:space="preserve"> quilt 是事实上的多视点交换格式，支持导入就能直接用 Looking Glass 生态的内容和 2D→3D 转换结果。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心理浮空线索。</w:t>
      </w:r>
      <w:r>
        <w:t xml:space="preserve"> HLD 靠阴影、反射、固定参照体积做出“浮”；Looking Glass 专利靠边缘标记和不透明外壳。AETHER 卡片的边框和屏面上的接触阴影都是零成本加成。</w:t>
      </w:r>
    </w:p>
    <w:p>
      <w:pPr>
        <w:pStyle w:val="Heading3"/>
      </w:pPr>
      <w:r>
        <w:t xml:space="preserve">hackathon 的 AETHER Window 代码</w:t>
      </w:r>
    </w:p>
    <w:p>
      <w:pPr/>
      <w:r>
        <w:t xml:space="preserve">现有代码已经是“摄像头版 Sony SRD”（跟眼 + 离轴透视），以下按收益/工时排序。</w:t>
      </w:r>
    </w:p>
    <w:p>
      <w:pPr>
        <w:pStyle w:val="ListParagraph"/>
        <w:numPr>
          <w:ilvl w:val="0"/>
          <w:numId w:val="4"/>
        </w:numPr>
      </w:pPr>
      <w:r>
        <w:t xml:space="preserve">☐ 场景套用 Sony 设计规则：物体留在视空间盒内、边缘加暗角、标签文字放前下方并用粗体、降低前后物体亮度差（约 1 小时）</w:t>
      </w:r>
    </w:p>
    <w:p>
      <w:pPr>
        <w:pStyle w:val="ListParagraph"/>
        <w:numPr>
          <w:ilvl w:val="0"/>
          <w:numId w:val="4"/>
        </w:numPr>
      </w:pPr>
      <w:r>
        <w:t xml:space="preserve">☐ 在屏幕平面加一个接触阴影平面（three.js ShadowMaterial），利用 HLD 的阴影线索增强出屏感（约 30 分钟）</w:t>
      </w:r>
    </w:p>
    <w:p>
      <w:pPr>
        <w:pStyle w:val="ListParagraph"/>
        <w:numPr>
          <w:ilvl w:val="0"/>
          <w:numId w:val="4"/>
        </w:numPr>
      </w:pPr>
      <w:r>
        <w:t xml:space="preserve">☐ 演示时把平板斜放约 45°（Sony 的形态），代码加一个屏幕倾角参数让场景的“上”指向重力，物体看起来站在屏幕上（约 1 小时）</w:t>
      </w:r>
    </w:p>
    <w:p>
      <w:pPr>
        <w:pStyle w:val="ListParagraph"/>
        <w:numPr>
          <w:ilvl w:val="0"/>
          <w:numId w:val="4"/>
        </w:numPr>
      </w:pPr>
      <w:r>
        <w:t xml:space="preserve">☐ 跟踪丢失时先惯性推算、再缓慢回到正中视点，而不是跳变（约 30 分钟）</w:t>
      </w:r>
    </w:p>
    <w:p>
      <w:pPr>
        <w:pStyle w:val="ListParagraph"/>
        <w:numPr>
          <w:ilvl w:val="0"/>
          <w:numId w:val="4"/>
        </w:numPr>
      </w:pPr>
      <w:r>
        <w:t xml:space="preserve">☐ 可选：接入 </w:t>
      </w:r>
      <w:r>
        <w:rPr>
          <w:rStyle w:val="CodeChar"/>
        </w:rPr>
        <w:t xml:space="preserve">@lookingglass/webxr</w:t>
      </w:r>
      <w:r>
        <w:t xml:space="preserve">（与我们的 three.js 0.160 兼容），一键导出 quilt 或在 Looking Glass Go 上直接跑，用来对比演示“不追踪 vs 追踪”（半天）</w:t>
      </w:r>
    </w:p>
    <w:p>
      <w:pPr>
        <w:pStyle w:val="Heading2"/>
      </w:pPr>
      <w:r>
        <w:t xml:space="preserve">AETHER 的差异化</w:t>
      </w:r>
    </w:p>
    <w:p>
      <w:pPr/>
      <w:r>
        <w:t xml:space="preserve">AETHER 真正的护城河是“手指能碰到的前浮体素”：两家的内容都贴着屏面，外接 Ultraleap 的手在屏前几厘米到十几厘米的空中动，手和影像从来不在同一个位置。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6"/>
        <w:gridCol w:w="3055"/>
        <w:gridCol w:w="1740"/>
        <w:gridCol w:w="3009"/>
      </w:tblGrid>
      <w:tr>
        <w:trPr>
          <w:tblHeader/>
        </w:trPr>
        <w:tc>
          <w:tcPr>
            <w:tcW w:w="1556" w:type="dxa"/>
            <w:shd w:val="clear" w:color="auto" w:fill="F2F2F2"/>
          </w:tcPr>
          <w:p>
            <w:pPr/>
            <w:r>
              <w:t xml:space="preserve">维度</w:t>
            </w:r>
          </w:p>
        </w:tc>
        <w:tc>
          <w:tcPr>
            <w:tcW w:w="3055" w:type="dxa"/>
            <w:shd w:val="clear" w:color="auto" w:fill="F2F2F2"/>
          </w:tcPr>
          <w:p>
            <w:pPr/>
            <w:r>
              <w:t xml:space="preserve">Looking Glass Go</w:t>
            </w:r>
          </w:p>
        </w:tc>
        <w:tc>
          <w:tcPr>
            <w:tcW w:w="1740" w:type="dxa"/>
            <w:shd w:val="clear" w:color="auto" w:fill="F2F2F2"/>
          </w:tcPr>
          <w:p>
            <w:pPr/>
            <w:r>
              <w:t xml:space="preserve">Sony SRD</w:t>
            </w:r>
          </w:p>
        </w:tc>
        <w:tc>
          <w:tcPr>
            <w:tcW w:w="3009" w:type="dxa"/>
            <w:shd w:val="clear" w:color="auto" w:fill="F2F2F2"/>
          </w:tcPr>
          <w:p>
            <w:pPr/>
            <w:r>
              <w:t xml:space="preserve">AETHER-1（目标）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手指交互</w:t>
            </w:r>
          </w:p>
        </w:tc>
        <w:tc>
          <w:tcPr>
            <w:tcW w:w="3055" w:type="dxa"/>
          </w:tcPr>
          <w:p>
            <w:pPr/>
            <w:r>
              <w:t xml:space="preserve">无；大屏外接 Ultraleap</w:t>
            </w:r>
          </w:p>
        </w:tc>
        <w:tc>
          <w:tcPr>
            <w:tcW w:w="1740" w:type="dxa"/>
          </w:tcPr>
          <w:p>
            <w:pPr/>
            <w:r>
              <w:t xml:space="preserve">无内置</w:t>
            </w:r>
          </w:p>
        </w:tc>
        <w:tc>
          <w:tcPr>
            <w:tcW w:w="3009" w:type="dxa"/>
          </w:tcPr>
          <w:p>
            <w:pPr/>
            <w:r>
              <w:t xml:space="preserve">内置，手指与 0–40 mm 前浮体素同位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同时观看人数</w:t>
            </w:r>
          </w:p>
        </w:tc>
        <w:tc>
          <w:tcPr>
            <w:tcW w:w="3055" w:type="dxa"/>
          </w:tcPr>
          <w:p>
            <w:pPr/>
            <w:r>
              <w:t xml:space="preserve">多人，但每人分辨率低</w:t>
            </w:r>
          </w:p>
        </w:tc>
        <w:tc>
          <w:tcPr>
            <w:tcW w:w="1740" w:type="dxa"/>
          </w:tcPr>
          <w:p>
            <w:pPr/>
            <w:r>
              <w:t xml:space="preserve">1 人（SR2 轮流 2 人）</w:t>
            </w:r>
          </w:p>
        </w:tc>
        <w:tc>
          <w:tcPr>
            <w:tcW w:w="3009" w:type="dxa"/>
          </w:tcPr>
          <w:p>
            <w:pPr/>
            <w:r>
              <w:t xml:space="preserve">2 人同时，480 Hz 时 4 人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视锥</w:t>
            </w:r>
          </w:p>
        </w:tc>
        <w:tc>
          <w:tcPr>
            <w:tcW w:w="3055" w:type="dxa"/>
          </w:tcPr>
          <w:p>
            <w:pPr/>
            <w:r>
              <w:t xml:space="preserve">54–58°，不追踪</w:t>
            </w:r>
          </w:p>
        </w:tc>
        <w:tc>
          <w:tcPr>
            <w:tcW w:w="1740" w:type="dxa"/>
          </w:tcPr>
          <w:p>
            <w:pPr/>
            <w:r>
              <w:t xml:space="preserve">水平 ±25°</w:t>
            </w:r>
          </w:p>
        </w:tc>
        <w:tc>
          <w:tcPr>
            <w:tcW w:w="3009" w:type="dxa"/>
          </w:tcPr>
          <w:p>
            <w:pPr/>
            <w:r>
              <w:t xml:space="preserve">±25°，Gen-2 ±50°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功耗 / 形态</w:t>
            </w:r>
          </w:p>
        </w:tc>
        <w:tc>
          <w:tcPr>
            <w:tcW w:w="3055" w:type="dxa"/>
          </w:tcPr>
          <w:p>
            <w:pPr/>
            <w:r>
              <w:t xml:space="preserve">USB 供电，6.2 mm 厚屏 + 底座</w:t>
            </w:r>
          </w:p>
        </w:tc>
        <w:tc>
          <w:tcPr>
            <w:tcW w:w="1740" w:type="dxa"/>
          </w:tcPr>
          <w:p>
            <w:pPr/>
            <w:r>
              <w:t xml:space="preserve">64 W，要一台重载 GPU 电脑</w:t>
            </w:r>
          </w:p>
        </w:tc>
        <w:tc>
          <w:tcPr>
            <w:tcW w:w="3009" w:type="dxa"/>
          </w:tcPr>
          <w:p>
            <w:pPr/>
            <w:r>
              <w:t xml:space="preserve">≈ 1.92 W，只渲染被看到的光线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AI</w:t>
            </w:r>
          </w:p>
        </w:tc>
        <w:tc>
          <w:tcPr>
            <w:tcW w:w="3055" w:type="dxa"/>
          </w:tcPr>
          <w:p>
            <w:pPr/>
            <w:r>
              <w:t xml:space="preserve">2D→3D 转换（评测说像立体书）、GPT 聊天角色（每月约 5 小时）</w:t>
            </w:r>
          </w:p>
        </w:tc>
        <w:tc>
          <w:tcPr>
            <w:tcW w:w="1740" w:type="dxa"/>
          </w:tcPr>
          <w:p>
            <w:pPr/>
            <w:r>
              <w:t xml:space="preserve">无</w:t>
            </w:r>
          </w:p>
        </w:tc>
        <w:tc>
          <w:tcPr>
            <w:tcW w:w="3009" w:type="dxa"/>
          </w:tcPr>
          <w:p>
            <w:pPr/>
            <w:r>
              <w:t xml:space="preserve">语音 + 手势直接改 3D 场景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价格</w:t>
            </w:r>
          </w:p>
        </w:tc>
        <w:tc>
          <w:tcPr>
            <w:tcW w:w="3055" w:type="dxa"/>
          </w:tcPr>
          <w:p>
            <w:pPr/>
            <w:r>
              <w:t xml:space="preserve">299 USD</w:t>
            </w:r>
          </w:p>
        </w:tc>
        <w:tc>
          <w:tcPr>
            <w:tcW w:w="1740" w:type="dxa"/>
          </w:tcPr>
          <w:p>
            <w:pPr/>
            <w:r>
              <w:t xml:space="preserve">4,750–4,999 USD</w:t>
            </w:r>
          </w:p>
        </w:tc>
        <w:tc>
          <w:tcPr>
            <w:tcW w:w="3009" w:type="dxa"/>
          </w:tcPr>
          <w:p>
            <w:pPr/>
            <w:r>
              <w:t xml:space="preserve">BOM 估 91–144 USD</w:t>
            </w:r>
          </w:p>
        </w:tc>
      </w:tr>
    </w:tbl>
    <w:p>
      <w:pPr/>
      <w:r>
        <w:t xml:space="preserve">他们领先的地方也要承认：Unity/Unreal 插件和 quilt 内容生态已经成型；Sony 有第二代高速传感器和显示器端的串扰校正芯片。Looking Glass Go 的 299 USD 是 AETHER 定价的直接参照。</w:t>
      </w:r>
    </w:p>
    <w:p>
      <w:pPr/>
      <w:r>
        <w:t xml:space="preserve">Looking Glass 2026 年转向 HLD（带固定全息背景的 2D 视频屏，放弃真视差和眼动追踪），说明大众市场买单的是“在场感”而不是视差本身。AETHER 的路演要证明的是“能碰、能改”，而不只是“看起来是 3D”。</w:t>
      </w:r>
    </w:p>
    <w:p>
      <w:pPr>
        <w:pStyle w:val="Heading2"/>
      </w:pPr>
      <w:r>
        <w:t xml:space="preserve">来源</w:t>
      </w:r>
    </w:p>
    <w:p>
      <w:pPr/>
      <w:r>
        <w:t xml:space="preserve">以下都是实际打开阅读过的页面。Sony 没有公开透镜节距和延迟毫秒数，两家都没有公开出屏深度；我没找到 Sony 的同行评审论文，只用了官方技术页。</w:t>
      </w:r>
    </w:p>
    <w:p>
      <w:pPr>
        <w:pStyle w:val="ListParagraph"/>
        <w:numPr>
          <w:ilvl w:val="0"/>
          <w:numId w:val="5"/>
        </w:numPr>
      </w:pPr>
      <w:r>
        <w:t xml:space="preserve">Looking Glass：</w:t>
      </w:r>
      <w:hyperlink r:id="rId10" w:history="1">
        <w:r>
          <w:rPr>
            <w:rStyle w:val="Hyperlink"/>
          </w:rPr>
          <w:t xml:space="preserve">How it works</w:t>
        </w:r>
      </w:hyperlink>
      <w:r>
        <w:t xml:space="preserve"> · </w:t>
      </w:r>
      <w:hyperlink r:id="rId14" w:history="1">
        <w:r>
          <w:rPr>
            <w:rStyle w:val="Hyperlink"/>
          </w:rPr>
          <w:t xml:space="preserve">Quilts</w:t>
        </w:r>
      </w:hyperlink>
      <w:r>
        <w:t xml:space="preserve"> · </w:t>
      </w:r>
      <w:hyperlink r:id="rId15" w:history="1">
        <w:r>
          <w:rPr>
            <w:rStyle w:val="Hyperlink"/>
          </w:rPr>
          <w:t xml:space="preserve">Bridge SDK 网页集成（Go 标定 JSON）</w:t>
        </w:r>
      </w:hyperlink>
      <w:r>
        <w:t xml:space="preserve"> · </w:t>
      </w:r>
      <w:hyperlink r:id="rId3" w:history="1">
        <w:r>
          <w:rPr>
            <w:rStyle w:val="Hyperlink"/>
          </w:rPr>
          <w:t xml:space="preserve">Ultraleap 开发文档</w:t>
        </w:r>
      </w:hyperlink>
      <w:r>
        <w:t xml:space="preserve"> · </w:t>
      </w:r>
      <w:hyperlink r:id="rId4" w:history="1">
        <w:r>
          <w:rPr>
            <w:rStyle w:val="Hyperlink"/>
          </w:rPr>
          <w:t xml:space="preserve">16" 旧款页</w:t>
        </w:r>
      </w:hyperlink>
      <w:r>
        <w:t xml:space="preserve"> · </w:t>
      </w:r>
      <w:hyperlink r:id="rId16" w:history="1">
        <w:r>
          <w:rPr>
            <w:rStyle w:val="Hyperlink"/>
          </w:rPr>
          <w:t xml:space="preserve">WebXR 库 README</w:t>
        </w:r>
      </w:hyperlink>
      <w:r>
        <w:t xml:space="preserve"> · </w:t>
      </w:r>
      <w:hyperlink r:id="rId12" w:history="1">
        <w:r>
          <w:rPr>
            <w:rStyle w:val="Hyperlink"/>
          </w:rPr>
          <w:t xml:space="preserve">HLD 概述</w:t>
        </w:r>
      </w:hyperlink>
    </w:p>
    <w:p>
      <w:pPr>
        <w:pStyle w:val="ListParagraph"/>
        <w:numPr>
          <w:ilvl w:val="0"/>
          <w:numId w:val="5"/>
        </w:numPr>
      </w:pPr>
      <w:r>
        <w:t xml:space="preserve">Looking Glass 专利：</w:t>
      </w:r>
      <w:hyperlink r:id="rId17" w:history="1">
        <w:r>
          <w:rPr>
            <w:rStyle w:val="Hyperlink"/>
          </w:rPr>
          <w:t xml:space="preserve">US11683472B2 Superstereoscopic display with enhanced off-angle separation</w:t>
        </w:r>
      </w:hyperlink>
      <w:r>
        <w:t xml:space="preserve">（优先权 2018-02-27）</w:t>
      </w:r>
    </w:p>
    <w:p>
      <w:pPr>
        <w:pStyle w:val="ListParagraph"/>
        <w:numPr>
          <w:ilvl w:val="0"/>
          <w:numId w:val="5"/>
        </w:numPr>
      </w:pPr>
      <w:r>
        <w:t xml:space="preserve">Looking Glass 第三方：</w:t>
      </w:r>
      <w:hyperlink r:id="rId5" w:history="1">
        <w:r>
          <w:rPr>
            <w:rStyle w:val="Hyperlink"/>
          </w:rPr>
          <w:t xml:space="preserve">New Atlas 评测 Go</w:t>
        </w:r>
      </w:hyperlink>
      <w:r>
        <w:t xml:space="preserve"> · </w:t>
      </w:r>
      <w:hyperlink r:id="rId11" w:history="1">
        <w:r>
          <w:rPr>
            <w:rStyle w:val="Hyperlink"/>
          </w:rPr>
          <w:t xml:space="preserve">Holoxica 型号表</w:t>
        </w:r>
      </w:hyperlink>
      <w:r>
        <w:t xml:space="preserve"> · </w:t>
      </w:r>
      <w:hyperlink r:id="rId18" w:history="1">
        <w:r>
          <w:rPr>
            <w:rStyle w:val="Hyperlink"/>
          </w:rPr>
          <w:t xml:space="preserve">Ultraleap 案例</w:t>
        </w:r>
      </w:hyperlink>
    </w:p>
    <w:p>
      <w:pPr>
        <w:pStyle w:val="ListParagraph"/>
        <w:numPr>
          <w:ilvl w:val="0"/>
          <w:numId w:val="5"/>
        </w:numPr>
      </w:pPr>
      <w:r>
        <w:t xml:space="preserve">Sony：</w:t>
      </w:r>
      <w:hyperlink r:id="rId8" w:history="1">
        <w:r>
          <w:rPr>
            <w:rStyle w:val="Hyperlink"/>
          </w:rPr>
          <w:t xml:space="preserve">Eye-sensing Light Field 技术页</w:t>
        </w:r>
      </w:hyperlink>
      <w:r>
        <w:t xml:space="preserve"> · </w:t>
      </w:r>
      <w:hyperlink r:id="rId9" w:history="1">
        <w:r>
          <w:rPr>
            <w:rStyle w:val="Hyperlink"/>
          </w:rPr>
          <w:t xml:space="preserve">视觉设计指南</w:t>
        </w:r>
      </w:hyperlink>
      <w:r>
        <w:t xml:space="preserve"> · </w:t>
      </w:r>
      <w:hyperlink r:id="rId19" w:history="1">
        <w:r>
          <w:rPr>
            <w:rStyle w:val="Hyperlink"/>
          </w:rPr>
          <w:t xml:space="preserve">串扰校正（Unity）</w:t>
        </w:r>
      </w:hyperlink>
      <w:r>
        <w:t xml:space="preserve"> · </w:t>
      </w:r>
      <w:hyperlink r:id="rId6" w:history="1">
        <w:r>
          <w:rPr>
            <w:rStyle w:val="Hyperlink"/>
          </w:rPr>
          <w:t xml:space="preserve">ELF-SR2 产品页</w:t>
        </w:r>
      </w:hyperlink>
      <w:r>
        <w:t xml:space="preserve"> · </w:t>
      </w:r>
      <w:hyperlink r:id="rId20" w:history="1">
        <w:r>
          <w:rPr>
            <w:rStyle w:val="Hyperlink"/>
          </w:rPr>
          <w:t xml:space="preserve">ELF-SR2 印度站</w:t>
        </w:r>
      </w:hyperlink>
    </w:p>
    <w:p>
      <w:pPr>
        <w:pStyle w:val="ListParagraph"/>
        <w:numPr>
          <w:ilvl w:val="0"/>
          <w:numId w:val="5"/>
        </w:numPr>
      </w:pPr>
      <w:r>
        <w:t xml:space="preserve">Sony 第三方：</w:t>
      </w:r>
      <w:hyperlink r:id="rId7" w:history="1">
        <w:r>
          <w:rPr>
            <w:rStyle w:val="Hyperlink"/>
          </w:rPr>
          <w:t xml:space="preserve">CGarchitect 评测 SR1</w:t>
        </w:r>
      </w:hyperlink>
      <w:r>
        <w:t xml:space="preserve"> · </w:t>
      </w:r>
      <w:hyperlink r:id="rId13" w:history="1">
        <w:r>
          <w:rPr>
            <w:rStyle w:val="Hyperlink"/>
          </w:rPr>
          <w:t xml:space="preserve">B&amp;H ELF-SR2 规格</w:t>
        </w:r>
      </w:hyperlink>
    </w:p>
    <w:p>
      <w:pPr>
        <w:pStyle w:val="ListParagraph"/>
        <w:numPr>
          <w:ilvl w:val="0"/>
          <w:numId w:val="5"/>
        </w:numPr>
      </w:pPr>
      <w:r>
        <w:t xml:space="preserve">AETHER 内部：</w:t>
      </w:r>
      <w:hyperlink r:id="rId21" w:history="1">
        <w:r>
          <w:rPr>
            <w:rStyle w:val="Hyperlink"/>
          </w:rPr>
          <w:t xml:space="preserve">第二阶段物理文档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lfdocs.lookingglassfactory.com/software/index/leap" TargetMode="External"/><Relationship Id="rId4" Type="http://schemas.openxmlformats.org/officeDocument/2006/relationships/hyperlink" Target="https://lfdocs.lookingglassfactory.com/legacy/legacy-hardware/looking-glass-16.md" TargetMode="External"/><Relationship Id="rId5" Type="http://schemas.openxmlformats.org/officeDocument/2006/relationships/hyperlink" Target="https://newatlas.com/technology/review-looking-glass-go/" TargetMode="External"/><Relationship Id="rId6" Type="http://schemas.openxmlformats.org/officeDocument/2006/relationships/hyperlink" Target="https://pro.sony/ue_US/products/spatial-reality-displays/elf-sr2" TargetMode="External"/><Relationship Id="rId7" Type="http://schemas.openxmlformats.org/officeDocument/2006/relationships/hyperlink" Target="https://cgconnect.chaos.com/insights/articles/c2d3d64c-sony-spatial-reality-display-reviewed" TargetMode="External"/><Relationship Id="rId8" Type="http://schemas.openxmlformats.org/officeDocument/2006/relationships/hyperlink" Target="https://www.sony.co.jp/en/technology/eye-sensing_light_field_display" TargetMode="External"/><Relationship Id="rId9" Type="http://schemas.openxmlformats.org/officeDocument/2006/relationships/hyperlink" Target="https://xyn.sony.net/en/developer/technical/spatial-reality-display/design/visual-design" TargetMode="External"/><Relationship Id="rId10" Type="http://schemas.openxmlformats.org/officeDocument/2006/relationships/hyperlink" Target="https://lfdocs.lookingglassfactory.com/keyconcepts/how-it-works" TargetMode="External"/><Relationship Id="rId11" Type="http://schemas.openxmlformats.org/officeDocument/2006/relationships/hyperlink" Target="https://www.holoxica.com/looking-glass-gen2-displays" TargetMode="External"/><Relationship Id="rId12" Type="http://schemas.openxmlformats.org/officeDocument/2006/relationships/hyperlink" Target="https://lookingglassfactory.com/hld-overview" TargetMode="External"/><Relationship Id="rId13" Type="http://schemas.openxmlformats.org/officeDocument/2006/relationships/hyperlink" Target="https://www.bhphotovideo.com/c/product/1761839-REG/sony_elf_sr2_27_4k_spatial.html" TargetMode="External"/><Relationship Id="rId14" Type="http://schemas.openxmlformats.org/officeDocument/2006/relationships/hyperlink" Target="https://lfdocs.lookingglassfactory.com/keyconcepts/quilts" TargetMode="External"/><Relationship Id="rId15" Type="http://schemas.openxmlformats.org/officeDocument/2006/relationships/hyperlink" Target="https://lfdocs.lookingglassfactory.com/software/looking-glass-bridge-sdk/web-application-integration.md" TargetMode="External"/><Relationship Id="rId16" Type="http://schemas.openxmlformats.org/officeDocument/2006/relationships/hyperlink" Target="https://cdn.jsdelivr.net/npm/@lookingglass/webxr@0.6.0/README.md" TargetMode="External"/><Relationship Id="rId17" Type="http://schemas.openxmlformats.org/officeDocument/2006/relationships/hyperlink" Target="https://patents.google.com/patent/US11683472" TargetMode="External"/><Relationship Id="rId18" Type="http://schemas.openxmlformats.org/officeDocument/2006/relationships/hyperlink" Target="https://ultraleap.com/company/news/case-study/looking-glass-hand-tracking-interactions" TargetMode="External"/><Relationship Id="rId19" Type="http://schemas.openxmlformats.org/officeDocument/2006/relationships/hyperlink" Target="https://xyn.sony.net/en/developer/setup/spatial-reality-display/unity/crosstalkcorrection" TargetMode="External"/><Relationship Id="rId20" Type="http://schemas.openxmlformats.org/officeDocument/2006/relationships/hyperlink" Target="https://www.sony.co.in/microsite/b2b/spatial-reality-display.html" TargetMode="External"/><Relationship Id="rId21" Type="http://schemas.openxmlformats.org/officeDocument/2006/relationships/hyperlink" Target="https://claude.ai/artifact/TQrTPA2M1w6Q2nDDQGBMQG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AETHER × Looking Glass  Sony SRD：调研与借鉴</dc:title>
  <dc:description>Claude Docs node/3770c9ae-8d3a@9 docx-w7</dc:description>
  <cp:revision>9</cp:revision>
</cp:coreProperties>
</file>