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812" w:rsidRPr="006C0779" w:rsidRDefault="00FB4812" w:rsidP="00FB4812">
      <w:pPr>
        <w:rPr>
          <w:rFonts w:ascii="Arial" w:hAnsi="Arial" w:cs="Arial"/>
          <w:b/>
        </w:rPr>
      </w:pPr>
      <w:r w:rsidRPr="006C0779">
        <w:rPr>
          <w:rFonts w:ascii="Arial" w:hAnsi="Arial" w:cs="Arial"/>
          <w:b/>
        </w:rPr>
        <w:t>DEALING WITH YOUNG OFFENDERS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b/>
        </w:rPr>
        <w:t>Module Code:</w:t>
      </w:r>
      <w:r w:rsidRPr="00FB4812">
        <w:rPr>
          <w:rFonts w:ascii="Arial" w:hAnsi="Arial" w:cs="Arial"/>
        </w:rPr>
        <w:t xml:space="preserve"> CMY2604</w:t>
      </w:r>
    </w:p>
    <w:p w:rsidR="00FB4812" w:rsidRPr="00FB4812" w:rsidRDefault="00FB4812" w:rsidP="00FB4812">
      <w:pPr>
        <w:rPr>
          <w:rFonts w:ascii="Arial" w:hAnsi="Arial" w:cs="Arial"/>
        </w:rPr>
      </w:pPr>
      <w:r w:rsidRPr="00FB4812">
        <w:rPr>
          <w:rFonts w:ascii="Arial" w:hAnsi="Arial" w:cs="Arial"/>
          <w:b/>
        </w:rPr>
        <w:t>Assessment:</w:t>
      </w:r>
      <w:r w:rsidRPr="00FB4812">
        <w:rPr>
          <w:rFonts w:ascii="Arial" w:hAnsi="Arial" w:cs="Arial"/>
        </w:rPr>
        <w:t xml:space="preserve"> Assessment 01</w:t>
      </w:r>
    </w:p>
    <w:p w:rsidR="00FB4812" w:rsidRPr="00FB4812" w:rsidRDefault="00FB4812" w:rsidP="00FB4812">
      <w:pPr>
        <w:rPr>
          <w:rFonts w:ascii="Arial" w:hAnsi="Arial" w:cs="Arial"/>
        </w:rPr>
      </w:pPr>
      <w:r w:rsidRPr="00FB4812">
        <w:rPr>
          <w:rFonts w:ascii="Arial" w:hAnsi="Arial" w:cs="Arial"/>
          <w:b/>
        </w:rPr>
        <w:t>Semester:</w:t>
      </w:r>
      <w:r w:rsidRPr="00FB4812">
        <w:rPr>
          <w:rFonts w:ascii="Arial" w:hAnsi="Arial" w:cs="Arial"/>
        </w:rPr>
        <w:t xml:space="preserve"> Semester 1 – 2026</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b/>
        </w:rPr>
        <w:t>Student Name:</w:t>
      </w:r>
      <w:r w:rsidRPr="00FB4812">
        <w:rPr>
          <w:rFonts w:ascii="Arial" w:hAnsi="Arial" w:cs="Arial"/>
        </w:rPr>
        <w:t xml:space="preserve"> [Your Name]</w:t>
      </w:r>
    </w:p>
    <w:p w:rsidR="00FB4812" w:rsidRPr="00FB4812" w:rsidRDefault="00FB4812" w:rsidP="00FB4812">
      <w:pPr>
        <w:rPr>
          <w:rFonts w:ascii="Arial" w:hAnsi="Arial" w:cs="Arial"/>
        </w:rPr>
      </w:pPr>
      <w:r w:rsidRPr="00FB4812">
        <w:rPr>
          <w:rFonts w:ascii="Arial" w:hAnsi="Arial" w:cs="Arial"/>
          <w:b/>
        </w:rPr>
        <w:t>Student Number:</w:t>
      </w:r>
      <w:r w:rsidRPr="00FB4812">
        <w:rPr>
          <w:rFonts w:ascii="Arial" w:hAnsi="Arial" w:cs="Arial"/>
        </w:rPr>
        <w:t xml:space="preserve"> [Your Student Number]</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b/>
        </w:rPr>
        <w:t>Department:</w:t>
      </w:r>
      <w:r w:rsidRPr="00FB4812">
        <w:rPr>
          <w:rFonts w:ascii="Arial" w:hAnsi="Arial" w:cs="Arial"/>
        </w:rPr>
        <w:t xml:space="preserve"> Criminology and Security Science</w:t>
      </w:r>
    </w:p>
    <w:p w:rsidR="00FB4812" w:rsidRPr="00FB4812" w:rsidRDefault="00FB4812" w:rsidP="00FB4812">
      <w:pPr>
        <w:rPr>
          <w:rFonts w:ascii="Arial" w:hAnsi="Arial" w:cs="Arial"/>
        </w:rPr>
      </w:pPr>
      <w:r w:rsidRPr="00FB4812">
        <w:rPr>
          <w:rFonts w:ascii="Arial" w:hAnsi="Arial" w:cs="Arial"/>
        </w:rPr>
        <w:t>Institution: University of South Africa (UNISA)</w:t>
      </w:r>
    </w:p>
    <w:p w:rsidR="00FB4812" w:rsidRPr="00FB4812" w:rsidRDefault="00FB4812" w:rsidP="00FB4812">
      <w:pPr>
        <w:rPr>
          <w:rFonts w:ascii="Arial" w:hAnsi="Arial" w:cs="Arial"/>
        </w:rPr>
      </w:pPr>
    </w:p>
    <w:p w:rsidR="00FB4812" w:rsidRDefault="00FB4812" w:rsidP="00FB4812">
      <w:pPr>
        <w:rPr>
          <w:rFonts w:ascii="Arial" w:hAnsi="Arial" w:cs="Arial"/>
        </w:rPr>
      </w:pPr>
      <w:r w:rsidRPr="00FB4812">
        <w:rPr>
          <w:rFonts w:ascii="Arial" w:hAnsi="Arial" w:cs="Arial"/>
          <w:b/>
        </w:rPr>
        <w:t>Date of Submission:</w:t>
      </w:r>
      <w:r w:rsidRPr="00FB4812">
        <w:rPr>
          <w:rFonts w:ascii="Arial" w:hAnsi="Arial" w:cs="Arial"/>
        </w:rPr>
        <w:t xml:space="preserve"> [Insert Date]</w:t>
      </w: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lastRenderedPageBreak/>
        <w:t>TABLE OF CONTENTS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6C0779">
        <w:rPr>
          <w:rFonts w:ascii="Arial" w:hAnsi="Arial" w:cs="Arial"/>
          <w:b/>
        </w:rPr>
        <w:t>Introduction .</w:t>
      </w:r>
      <w:r w:rsidRPr="00FB4812">
        <w:rPr>
          <w:rFonts w:ascii="Arial" w:hAnsi="Arial" w:cs="Arial"/>
        </w:rPr>
        <w:t>............................................................................ 3</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6C0779">
        <w:rPr>
          <w:rFonts w:ascii="Arial" w:hAnsi="Arial" w:cs="Arial"/>
          <w:b/>
        </w:rPr>
        <w:t>Question 1: Diversion</w:t>
      </w:r>
      <w:r w:rsidRPr="00FB4812">
        <w:rPr>
          <w:rFonts w:ascii="Arial" w:hAnsi="Arial" w:cs="Arial"/>
        </w:rPr>
        <w:t xml:space="preserve"> ............................................................. 4</w:t>
      </w:r>
    </w:p>
    <w:p w:rsidR="00FB4812" w:rsidRPr="00FB4812" w:rsidRDefault="00FB4812" w:rsidP="00FB4812">
      <w:pPr>
        <w:rPr>
          <w:rFonts w:ascii="Arial" w:hAnsi="Arial" w:cs="Arial"/>
        </w:rPr>
      </w:pPr>
      <w:r w:rsidRPr="00FB4812">
        <w:rPr>
          <w:rFonts w:ascii="Arial" w:hAnsi="Arial" w:cs="Arial"/>
        </w:rPr>
        <w:t>2.1 Introduction .............................................................................. 4</w:t>
      </w:r>
    </w:p>
    <w:p w:rsidR="00FB4812" w:rsidRPr="00FB4812" w:rsidRDefault="00FB4812" w:rsidP="00FB4812">
      <w:pPr>
        <w:rPr>
          <w:rFonts w:ascii="Arial" w:hAnsi="Arial" w:cs="Arial"/>
        </w:rPr>
      </w:pPr>
      <w:r w:rsidRPr="00FB4812">
        <w:rPr>
          <w:rFonts w:ascii="Arial" w:hAnsi="Arial" w:cs="Arial"/>
        </w:rPr>
        <w:t>2.2 Definition of Key Concept(s) ................................................... 4</w:t>
      </w:r>
    </w:p>
    <w:p w:rsidR="00FB4812" w:rsidRPr="00FB4812" w:rsidRDefault="00FB4812" w:rsidP="00FB4812">
      <w:pPr>
        <w:rPr>
          <w:rFonts w:ascii="Arial" w:hAnsi="Arial" w:cs="Arial"/>
        </w:rPr>
      </w:pPr>
      <w:r w:rsidRPr="00FB4812">
        <w:rPr>
          <w:rFonts w:ascii="Arial" w:hAnsi="Arial" w:cs="Arial"/>
        </w:rPr>
        <w:t>2.3 Objectives of Diversion .......................................................... 5</w:t>
      </w:r>
    </w:p>
    <w:p w:rsidR="00FB4812" w:rsidRPr="00FB4812" w:rsidRDefault="00FB4812" w:rsidP="00FB4812">
      <w:pPr>
        <w:rPr>
          <w:rFonts w:ascii="Arial" w:hAnsi="Arial" w:cs="Arial"/>
        </w:rPr>
      </w:pPr>
      <w:r w:rsidRPr="00FB4812">
        <w:rPr>
          <w:rFonts w:ascii="Arial" w:hAnsi="Arial" w:cs="Arial"/>
        </w:rPr>
        <w:t>2.4 Criteria Required for Diversion .............................................. 6</w:t>
      </w:r>
    </w:p>
    <w:p w:rsidR="00FB4812" w:rsidRPr="00FB4812" w:rsidRDefault="00FB4812" w:rsidP="00FB4812">
      <w:pPr>
        <w:rPr>
          <w:rFonts w:ascii="Arial" w:hAnsi="Arial" w:cs="Arial"/>
        </w:rPr>
      </w:pPr>
      <w:r w:rsidRPr="00FB4812">
        <w:rPr>
          <w:rFonts w:ascii="Arial" w:hAnsi="Arial" w:cs="Arial"/>
        </w:rPr>
        <w:t>2.5 Appropriate Diversion Options ............................................... 7</w:t>
      </w:r>
    </w:p>
    <w:p w:rsidR="00FB4812" w:rsidRPr="00FB4812" w:rsidRDefault="00FB4812" w:rsidP="00FB4812">
      <w:pPr>
        <w:rPr>
          <w:rFonts w:ascii="Arial" w:hAnsi="Arial" w:cs="Arial"/>
        </w:rPr>
      </w:pPr>
      <w:r w:rsidRPr="00FB4812">
        <w:rPr>
          <w:rFonts w:ascii="Arial" w:hAnsi="Arial" w:cs="Arial"/>
        </w:rPr>
        <w:t>2.6 Application to the Scenario .................................................... 8</w:t>
      </w:r>
    </w:p>
    <w:p w:rsidR="00FB4812" w:rsidRPr="00FB4812" w:rsidRDefault="00FB4812" w:rsidP="00FB4812">
      <w:pPr>
        <w:rPr>
          <w:rFonts w:ascii="Arial" w:hAnsi="Arial" w:cs="Arial"/>
        </w:rPr>
      </w:pPr>
      <w:r w:rsidRPr="00FB4812">
        <w:rPr>
          <w:rFonts w:ascii="Arial" w:hAnsi="Arial" w:cs="Arial"/>
        </w:rPr>
        <w:t>2.7 Conclusion ............................................................................... 8</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6C0779">
        <w:rPr>
          <w:rFonts w:ascii="Arial" w:hAnsi="Arial" w:cs="Arial"/>
          <w:b/>
        </w:rPr>
        <w:t>Question 2: Criminal Capacity and Liability</w:t>
      </w:r>
      <w:r w:rsidRPr="00FB4812">
        <w:rPr>
          <w:rFonts w:ascii="Arial" w:hAnsi="Arial" w:cs="Arial"/>
        </w:rPr>
        <w:t xml:space="preserve"> ......................... 9</w:t>
      </w:r>
    </w:p>
    <w:p w:rsidR="00FB4812" w:rsidRPr="00FB4812" w:rsidRDefault="00FB4812" w:rsidP="00FB4812">
      <w:pPr>
        <w:rPr>
          <w:rFonts w:ascii="Arial" w:hAnsi="Arial" w:cs="Arial"/>
        </w:rPr>
      </w:pPr>
      <w:r w:rsidRPr="00FB4812">
        <w:rPr>
          <w:rFonts w:ascii="Arial" w:hAnsi="Arial" w:cs="Arial"/>
        </w:rPr>
        <w:t>3.1 Introduction .............................................................................. 9</w:t>
      </w:r>
    </w:p>
    <w:p w:rsidR="00FB4812" w:rsidRPr="00FB4812" w:rsidRDefault="00FB4812" w:rsidP="00FB4812">
      <w:pPr>
        <w:rPr>
          <w:rFonts w:ascii="Arial" w:hAnsi="Arial" w:cs="Arial"/>
        </w:rPr>
      </w:pPr>
      <w:r w:rsidRPr="00FB4812">
        <w:rPr>
          <w:rFonts w:ascii="Arial" w:hAnsi="Arial" w:cs="Arial"/>
        </w:rPr>
        <w:t xml:space="preserve">3.2 Criminal Capacity of </w:t>
      </w:r>
      <w:proofErr w:type="spellStart"/>
      <w:r w:rsidRPr="00FB4812">
        <w:rPr>
          <w:rFonts w:ascii="Arial" w:hAnsi="Arial" w:cs="Arial"/>
        </w:rPr>
        <w:t>Sipho</w:t>
      </w:r>
      <w:proofErr w:type="spellEnd"/>
      <w:r w:rsidRPr="00FB4812">
        <w:rPr>
          <w:rFonts w:ascii="Arial" w:hAnsi="Arial" w:cs="Arial"/>
        </w:rPr>
        <w:t xml:space="preserve"> (11 years) .................................. 9</w:t>
      </w:r>
    </w:p>
    <w:p w:rsidR="00FB4812" w:rsidRPr="00FB4812" w:rsidRDefault="00FB4812" w:rsidP="00FB4812">
      <w:pPr>
        <w:rPr>
          <w:rFonts w:ascii="Arial" w:hAnsi="Arial" w:cs="Arial"/>
        </w:rPr>
      </w:pPr>
      <w:r w:rsidRPr="00FB4812">
        <w:rPr>
          <w:rFonts w:ascii="Arial" w:hAnsi="Arial" w:cs="Arial"/>
        </w:rPr>
        <w:t>3.3 Criminal Capacity of Sarah (13 years) .................................. 10</w:t>
      </w:r>
    </w:p>
    <w:p w:rsidR="00FB4812" w:rsidRPr="00FB4812" w:rsidRDefault="00FB4812" w:rsidP="00FB4812">
      <w:pPr>
        <w:rPr>
          <w:rFonts w:ascii="Arial" w:hAnsi="Arial" w:cs="Arial"/>
        </w:rPr>
      </w:pPr>
      <w:r w:rsidRPr="00FB4812">
        <w:rPr>
          <w:rFonts w:ascii="Arial" w:hAnsi="Arial" w:cs="Arial"/>
        </w:rPr>
        <w:t>3.4 Procedures: Arrest, Assessment and Prosecution .............. 10</w:t>
      </w:r>
    </w:p>
    <w:p w:rsidR="00FB4812" w:rsidRPr="00FB4812" w:rsidRDefault="00FB4812" w:rsidP="00FB4812">
      <w:pPr>
        <w:rPr>
          <w:rFonts w:ascii="Arial" w:hAnsi="Arial" w:cs="Arial"/>
        </w:rPr>
      </w:pPr>
      <w:r w:rsidRPr="00FB4812">
        <w:rPr>
          <w:rFonts w:ascii="Arial" w:hAnsi="Arial" w:cs="Arial"/>
        </w:rPr>
        <w:t>3.5 Application to the Scenario .................................................... 11</w:t>
      </w:r>
    </w:p>
    <w:p w:rsidR="00FB4812" w:rsidRPr="00FB4812" w:rsidRDefault="00FB4812" w:rsidP="00FB4812">
      <w:pPr>
        <w:rPr>
          <w:rFonts w:ascii="Arial" w:hAnsi="Arial" w:cs="Arial"/>
        </w:rPr>
      </w:pPr>
      <w:r w:rsidRPr="00FB4812">
        <w:rPr>
          <w:rFonts w:ascii="Arial" w:hAnsi="Arial" w:cs="Arial"/>
        </w:rPr>
        <w:t>3.6 Conclusion ............................................................................... 11</w:t>
      </w:r>
    </w:p>
    <w:p w:rsidR="00FB4812" w:rsidRPr="00FB4812" w:rsidRDefault="00FB4812" w:rsidP="00FB4812">
      <w:pPr>
        <w:rPr>
          <w:rFonts w:ascii="Arial" w:hAnsi="Arial" w:cs="Arial"/>
        </w:rPr>
      </w:pPr>
    </w:p>
    <w:p w:rsidR="00FB4812" w:rsidRPr="00FB4812" w:rsidRDefault="00FB4812" w:rsidP="00FB4812">
      <w:pPr>
        <w:rPr>
          <w:rFonts w:ascii="Arial" w:hAnsi="Arial" w:cs="Arial"/>
        </w:rPr>
      </w:pPr>
      <w:bookmarkStart w:id="0" w:name="_GoBack"/>
      <w:r w:rsidRPr="006C0779">
        <w:rPr>
          <w:rFonts w:ascii="Arial" w:hAnsi="Arial" w:cs="Arial"/>
          <w:b/>
        </w:rPr>
        <w:t>List of References</w:t>
      </w:r>
      <w:r w:rsidRPr="00FB4812">
        <w:rPr>
          <w:rFonts w:ascii="Arial" w:hAnsi="Arial" w:cs="Arial"/>
        </w:rPr>
        <w:t xml:space="preserve"> </w:t>
      </w:r>
      <w:bookmarkEnd w:id="0"/>
      <w:r w:rsidRPr="00FB4812">
        <w:rPr>
          <w:rFonts w:ascii="Arial" w:hAnsi="Arial" w:cs="Arial"/>
        </w:rPr>
        <w:t>..................................................................... 12</w:t>
      </w:r>
    </w:p>
    <w:p w:rsidR="00FB4812" w:rsidRP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lastRenderedPageBreak/>
        <w:t>1. INTRODUCTION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Children who come into conflict with the law must be treated differently from adults because they are still developing socially, emotionally and psychologically. The South African child justice system therefore focuses on rehabilitation and reintegration rather than punishment. One of the most important pieces of legislation that regulates how children are treated within the criminal justice system is the Child Justice Act 75 of 2008, which was later amended by the Child Justice Amendment Act 9 of 2019.</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Act introduced several important mechanisms designed to protect the rights of children while also ensuring that they take responsibility for their actions. These mechanisms include diversion programmes and the regulation of criminal capacity for children.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This assignment discusses two key aspects of the Child Justice Act. The first part critically examines the concept of diversion and its applicability in the case of Henry, a 15-year-old boy who stole a bicycle. The second part explains how criminal capacity and liability apply differently to two children, </w:t>
      </w:r>
      <w:proofErr w:type="spellStart"/>
      <w:r w:rsidRPr="00FB4812">
        <w:rPr>
          <w:rFonts w:ascii="Arial" w:hAnsi="Arial" w:cs="Arial"/>
        </w:rPr>
        <w:t>Sipho</w:t>
      </w:r>
      <w:proofErr w:type="spellEnd"/>
      <w:r w:rsidRPr="00FB4812">
        <w:rPr>
          <w:rFonts w:ascii="Arial" w:hAnsi="Arial" w:cs="Arial"/>
        </w:rPr>
        <w:t xml:space="preserve"> and Sarah, who are suspected of damaging school property.</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QUESTION 1: DIVERSION</w:t>
      </w:r>
    </w:p>
    <w:p w:rsidR="00FB4812" w:rsidRPr="00FB4812" w:rsidRDefault="00FB4812" w:rsidP="00FB4812">
      <w:pPr>
        <w:rPr>
          <w:rFonts w:ascii="Arial" w:hAnsi="Arial" w:cs="Arial"/>
          <w:b/>
        </w:rPr>
      </w:pPr>
      <w:r w:rsidRPr="00FB4812">
        <w:rPr>
          <w:rFonts w:ascii="Arial" w:hAnsi="Arial" w:cs="Arial"/>
          <w:b/>
        </w:rPr>
        <w:t>2.1 Introduction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Diversion is an important component of the child justice system in South Africa. It allows certain child offenders to be dealt with outside the formal criminal justice system while still holding them accountable for their behaviour. Instead of focusing on punishment, diversion aims to rehabilitate the child and prevent future offending.</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Child Justice Act promotes restorative justice, which encourages young offenders to understand the consequences of their actions and take responsibility for them. This discussion critically evaluates whether diversion is appropriate for Henry, a 15-year-old boy who stole a bicycle from his neighbour.</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2.2 Definition of Key Concept(s)</w:t>
      </w:r>
    </w:p>
    <w:p w:rsidR="00FB4812" w:rsidRPr="00FB4812" w:rsidRDefault="00FB4812" w:rsidP="00FB4812">
      <w:pPr>
        <w:rPr>
          <w:rFonts w:ascii="Arial" w:hAnsi="Arial" w:cs="Arial"/>
          <w:b/>
        </w:rPr>
      </w:pPr>
      <w:r w:rsidRPr="00FB4812">
        <w:rPr>
          <w:rFonts w:ascii="Arial" w:hAnsi="Arial" w:cs="Arial"/>
          <w:b/>
        </w:rPr>
        <w:t>Diversion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Diversion refers to the process whereby a child who has committed an offence is redirected away from the formal criminal justice system and instead participates in programmes that focus on rehabilitation and accountability.</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lastRenderedPageBreak/>
        <w:t xml:space="preserve">The CMY2604 study guide explains that diversion is a mechanism within the child justice system that aims to address offending behaviour without exposing children to the negative consequences of formal criminal </w:t>
      </w:r>
      <w:proofErr w:type="gramStart"/>
      <w:r w:rsidRPr="00FB4812">
        <w:rPr>
          <w:rFonts w:ascii="Arial" w:hAnsi="Arial" w:cs="Arial"/>
        </w:rPr>
        <w:t>prosecution .</w:t>
      </w:r>
      <w:proofErr w:type="gramEnd"/>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According to Skelton and </w:t>
      </w:r>
      <w:proofErr w:type="spellStart"/>
      <w:r w:rsidRPr="00FB4812">
        <w:rPr>
          <w:rFonts w:ascii="Arial" w:hAnsi="Arial" w:cs="Arial"/>
        </w:rPr>
        <w:t>Tshehla</w:t>
      </w:r>
      <w:proofErr w:type="spellEnd"/>
      <w:r w:rsidRPr="00FB4812">
        <w:rPr>
          <w:rFonts w:ascii="Arial" w:hAnsi="Arial" w:cs="Arial"/>
        </w:rPr>
        <w:t xml:space="preserve"> (2008), diversion programmes encourage children to take responsibility for their actions while also helping them develop positive behaviour that reduces the likelihood of future offending.</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2.3 Objectives of Diversion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Child Justice Act identifies several important objectives of diversion.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One of the main objectives is to prevent children from receiving criminal records for minor offences. A criminal record at a young age can negatively affect future employment and educational opportunities.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Another objective is to promote restorative justice. Restorative justice focuses on repairing the harm caused by crime by encouraging offenders to take responsibility and make amends to victims and the community.</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Diversion also aims to rehabilitate young offenders by providing programmes such as counselling, life-skills training and community service. These programmes help children develop positive social behaviour and reduce the likelihood of reoffending.</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Research has shown that diversion programmes are effective in helping young offenders change their behaviour and reintegrate into society. Studies indicate that such programmes provide opportunities for young offenders to develop social skills and reduce future criminal behaviour (</w:t>
      </w:r>
      <w:proofErr w:type="spellStart"/>
      <w:r w:rsidRPr="00FB4812">
        <w:rPr>
          <w:rFonts w:ascii="Arial" w:hAnsi="Arial" w:cs="Arial"/>
        </w:rPr>
        <w:t>Ekobi</w:t>
      </w:r>
      <w:proofErr w:type="spellEnd"/>
      <w:r w:rsidRPr="00FB4812">
        <w:rPr>
          <w:rFonts w:ascii="Arial" w:hAnsi="Arial" w:cs="Arial"/>
        </w:rPr>
        <w:t xml:space="preserve">, </w:t>
      </w:r>
      <w:proofErr w:type="spellStart"/>
      <w:r w:rsidRPr="00FB4812">
        <w:rPr>
          <w:rFonts w:ascii="Arial" w:hAnsi="Arial" w:cs="Arial"/>
        </w:rPr>
        <w:t>Mangwiro</w:t>
      </w:r>
      <w:proofErr w:type="spellEnd"/>
      <w:r w:rsidRPr="00FB4812">
        <w:rPr>
          <w:rFonts w:ascii="Arial" w:hAnsi="Arial" w:cs="Arial"/>
        </w:rPr>
        <w:t xml:space="preserve"> &amp; </w:t>
      </w:r>
      <w:proofErr w:type="spellStart"/>
      <w:r w:rsidRPr="00FB4812">
        <w:rPr>
          <w:rFonts w:ascii="Arial" w:hAnsi="Arial" w:cs="Arial"/>
        </w:rPr>
        <w:t>Tanga</w:t>
      </w:r>
      <w:proofErr w:type="spellEnd"/>
      <w:r w:rsidRPr="00FB4812">
        <w:rPr>
          <w:rFonts w:ascii="Arial" w:hAnsi="Arial" w:cs="Arial"/>
        </w:rPr>
        <w:t>, 2024).</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In addition, the implementation of diversion programmes in South Africa has significantly reduced the number of children entering the formal criminal justice system (Sloth-Nielsen, 2018).</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2.4 Criteria Required for Diversion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Child Justice Act sets out certain criteria that must be satisfied before diversion can take place.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lastRenderedPageBreak/>
        <w:t>Firstly, the child must acknowledge responsibility for the offence. In the given scenario, Henry admitted to stealing the bicycle and expressed remorse, which satisfies this requirement.</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Secondly, the offence must generally be less serious. Theft of a bicycle valued at R1 200 is considered a relatively minor offence, which makes diversion appropriate.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Thirdly, the child must be willing to participate in diversion programmes. Henry’s admission of guilt and remorse suggests that he is likely to cooperate with such programmes.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Another important factor is the support of parents or guardians. In this scenario, Henry’s parents are willing to support him, which strengthens the possibility of diversion.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Furthermore, a probation officer plays an important role in recommending whether diversion should be applied. In this case, the probation officer recommended diversion, which indicates that it is an appropriate option.</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2.5 Appropriate Diversion Options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Child Justice Act provides different diversion options depending on the seriousness of the offence.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Level One diversion options are generally used for less serious offences and may include: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A formal warning or caution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Written or verbal apology to the victim</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Participation in life-skills programmes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Community service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Level Two diversion options are more intensive and may include structured supervision programmes or therapeutic interventions.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lastRenderedPageBreak/>
        <w:t>Since Henry committed a relatively minor offence and this is his first encounter with the law, Level One diversion options would be the most appropriate.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Research also indicates that diversion programmes provide children with opportunities to reflect on their behaviour and develop skills that promote responsible decision-making (</w:t>
      </w:r>
      <w:proofErr w:type="spellStart"/>
      <w:r w:rsidRPr="00FB4812">
        <w:rPr>
          <w:rFonts w:ascii="Arial" w:hAnsi="Arial" w:cs="Arial"/>
        </w:rPr>
        <w:t>Hargovan</w:t>
      </w:r>
      <w:proofErr w:type="spellEnd"/>
      <w:r w:rsidRPr="00FB4812">
        <w:rPr>
          <w:rFonts w:ascii="Arial" w:hAnsi="Arial" w:cs="Arial"/>
        </w:rPr>
        <w:t>, 2016).</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2.6 Application to the Scenario</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In Henry’s case, diversion appears to be appropriate. He is 15 years old and this is his first offence. He admitted to the crime and expressed remorse, which shows that he accepts responsibility for his actions.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In addition, the probation officer recommended diversion and Henry’s parents are willing to support him. These factors meet the criteria required by the Child Justice Act.</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A suitable diversion programme for Henry could include community service combined with a life-skills programme. This would allow him to understand the consequences of his actions and learn from his mistake without entering the formal criminal justice system.</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2.7 Conclusion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Diversion is an important mechanism in the South African child justice system because it focuses on rehabilitation rather than punishment. In Henry’s case, the requirements for diversion appear to be satisfied. His age, the nature of the offence, and the support of his parents all indicate that diversion is the most appropriate response. By participating in diversion programmes, Henry can take responsibility for his actions and develop positive behaviour that reduces the likelihood of future offending.</w:t>
      </w:r>
    </w:p>
    <w:p w:rsidR="00FB4812" w:rsidRP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lastRenderedPageBreak/>
        <w:t>QUESTION 2: CRIMINAL CAPACITY AND LIABILITY</w:t>
      </w:r>
    </w:p>
    <w:p w:rsidR="00FB4812" w:rsidRPr="00FB4812" w:rsidRDefault="00FB4812" w:rsidP="00FB4812">
      <w:pPr>
        <w:rPr>
          <w:rFonts w:ascii="Arial" w:hAnsi="Arial" w:cs="Arial"/>
          <w:b/>
        </w:rPr>
      </w:pPr>
      <w:r w:rsidRPr="00FB4812">
        <w:rPr>
          <w:rFonts w:ascii="Arial" w:hAnsi="Arial" w:cs="Arial"/>
          <w:b/>
        </w:rPr>
        <w:t>3.1 Introduction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Criminal capacity refers to a person’s ability to understand that their behaviour is wrong and to act according to that understanding. In South Africa, the Child Justice Amendment Act 9 of 2019 increased the minimum age of criminal capacity from 10 to 12 years. This change aims to provide greater protection for children who come into conflict with the law.</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This section explains how criminal capacity and liability differ for </w:t>
      </w:r>
      <w:proofErr w:type="spellStart"/>
      <w:r w:rsidRPr="00FB4812">
        <w:rPr>
          <w:rFonts w:ascii="Arial" w:hAnsi="Arial" w:cs="Arial"/>
        </w:rPr>
        <w:t>Sipho</w:t>
      </w:r>
      <w:proofErr w:type="spellEnd"/>
      <w:r w:rsidRPr="00FB4812">
        <w:rPr>
          <w:rFonts w:ascii="Arial" w:hAnsi="Arial" w:cs="Arial"/>
        </w:rPr>
        <w:t>, who is 11 years old, and Sarah, who is 13 years old.</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 xml:space="preserve">3.2 Criminal Capacity of </w:t>
      </w:r>
      <w:proofErr w:type="spellStart"/>
      <w:r w:rsidRPr="00FB4812">
        <w:rPr>
          <w:rFonts w:ascii="Arial" w:hAnsi="Arial" w:cs="Arial"/>
          <w:b/>
        </w:rPr>
        <w:t>Sipho</w:t>
      </w:r>
      <w:proofErr w:type="spellEnd"/>
      <w:r w:rsidRPr="00FB4812">
        <w:rPr>
          <w:rFonts w:ascii="Arial" w:hAnsi="Arial" w:cs="Arial"/>
          <w:b/>
        </w:rPr>
        <w:t xml:space="preserve"> (11 years)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proofErr w:type="spellStart"/>
      <w:r w:rsidRPr="00FB4812">
        <w:rPr>
          <w:rFonts w:ascii="Arial" w:hAnsi="Arial" w:cs="Arial"/>
        </w:rPr>
        <w:t>Sipho</w:t>
      </w:r>
      <w:proofErr w:type="spellEnd"/>
      <w:r w:rsidRPr="00FB4812">
        <w:rPr>
          <w:rFonts w:ascii="Arial" w:hAnsi="Arial" w:cs="Arial"/>
        </w:rPr>
        <w:t xml:space="preserve"> is 11 years old, which means he is below the minimum age of criminal capacity according to the Child Justice Amendment Act.</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Children under the age of 12 cannot be held criminally responsible for offences. Therefore, </w:t>
      </w:r>
      <w:proofErr w:type="spellStart"/>
      <w:r w:rsidRPr="00FB4812">
        <w:rPr>
          <w:rFonts w:ascii="Arial" w:hAnsi="Arial" w:cs="Arial"/>
        </w:rPr>
        <w:t>Sipho</w:t>
      </w:r>
      <w:proofErr w:type="spellEnd"/>
      <w:r w:rsidRPr="00FB4812">
        <w:rPr>
          <w:rFonts w:ascii="Arial" w:hAnsi="Arial" w:cs="Arial"/>
        </w:rPr>
        <w:t xml:space="preserve"> cannot be prosecuted for malicious damage to property.</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However, this does not mean that the matter will simply be ignored. Instead, </w:t>
      </w:r>
      <w:proofErr w:type="spellStart"/>
      <w:r w:rsidRPr="00FB4812">
        <w:rPr>
          <w:rFonts w:ascii="Arial" w:hAnsi="Arial" w:cs="Arial"/>
        </w:rPr>
        <w:t>Sipho</w:t>
      </w:r>
      <w:proofErr w:type="spellEnd"/>
      <w:r w:rsidRPr="00FB4812">
        <w:rPr>
          <w:rFonts w:ascii="Arial" w:hAnsi="Arial" w:cs="Arial"/>
        </w:rPr>
        <w:t xml:space="preserve"> will be referred to a probation officer for assessment. The purpose of this assessment is to determine the child’s circumstances and recommend appropriate interventions such as counselling or family support programmes.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These interventions aim to address the behaviour of the child and prevent future offending.</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3.3 Criminal Capacity of Sarah (13 years)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Sarah is 13 years old, which places her within the age group of 12 to 14 years.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Children within this age group are presumed to lack criminal capacity unless the state can prove otherwise. This means that the prosecution must prove beyond reasonable doubt that Sarah understood that her actions were wrong and that she had the ability to act in accordance with that understanding.</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If the state cannot prove this, Sarah cannot be held criminally responsible for the offence.</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lastRenderedPageBreak/>
        <w:t>3.4 Procedures: Arrest, Assessment and Prosecution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When a child is suspected of committing an offence, the Child Justice Act requires certain procedures to be followed.</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Firstly, arrest should be used only as a last resort. Police officers may issue a written notice or summons instead of arresting the child.</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Secondly, the child must undergo an assessment conducted by a probation officer. The purpose of this assessment is to evaluate the child’s personal circumstances and determine the most appropriate way to deal with the case.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After the assessment, a preliminary inquiry will take place. The inquiry considers factors such as the seriousness of the offence, the child’s personal circumstances and whether diversion is appropriate.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If diversion is not appropriate and criminal capacity is established, the matter may proceed to the child justice court.</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3.5 Application to the Scenario</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In the given scenario, both </w:t>
      </w:r>
      <w:proofErr w:type="spellStart"/>
      <w:r w:rsidRPr="00FB4812">
        <w:rPr>
          <w:rFonts w:ascii="Arial" w:hAnsi="Arial" w:cs="Arial"/>
        </w:rPr>
        <w:t>Sipho</w:t>
      </w:r>
      <w:proofErr w:type="spellEnd"/>
      <w:r w:rsidRPr="00FB4812">
        <w:rPr>
          <w:rFonts w:ascii="Arial" w:hAnsi="Arial" w:cs="Arial"/>
        </w:rPr>
        <w:t xml:space="preserve"> and Sarah admitted to throwing the stone that broke the school window.</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Since </w:t>
      </w:r>
      <w:proofErr w:type="spellStart"/>
      <w:r w:rsidRPr="00FB4812">
        <w:rPr>
          <w:rFonts w:ascii="Arial" w:hAnsi="Arial" w:cs="Arial"/>
        </w:rPr>
        <w:t>Sipho</w:t>
      </w:r>
      <w:proofErr w:type="spellEnd"/>
      <w:r w:rsidRPr="00FB4812">
        <w:rPr>
          <w:rFonts w:ascii="Arial" w:hAnsi="Arial" w:cs="Arial"/>
        </w:rPr>
        <w:t xml:space="preserve"> is younger than 12 years old, he cannot be prosecuted. Instead, he will receive support interventions through social services.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Sarah, however, may be held criminally responsible if the state proves that she had criminal capacity at the time of the offence. If criminal capacity is established, the court may decide to apply diversion or allow the case to proceed to trial depending on the circumstances.</w:t>
      </w:r>
    </w:p>
    <w:p w:rsidR="00FB4812" w:rsidRP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t>3.6 Conclusion</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The Child Justice Amendment Act introduced important reforms by increasing the minimum age of criminal capacity to 12 years. These reforms aim to protect younger children from being exposed to the criminal justice system while still ensuring accountability where appropriate.</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In this scenario, </w:t>
      </w:r>
      <w:proofErr w:type="spellStart"/>
      <w:r w:rsidRPr="00FB4812">
        <w:rPr>
          <w:rFonts w:ascii="Arial" w:hAnsi="Arial" w:cs="Arial"/>
        </w:rPr>
        <w:t>Sipho</w:t>
      </w:r>
      <w:proofErr w:type="spellEnd"/>
      <w:r w:rsidRPr="00FB4812">
        <w:rPr>
          <w:rFonts w:ascii="Arial" w:hAnsi="Arial" w:cs="Arial"/>
        </w:rPr>
        <w:t xml:space="preserve"> cannot be held criminally liable because he is below the age of criminal capacity. Sarah, however, may be prosecuted if the state proves that she had criminal capacity. These legal provisions ensure that children are treated fairly while also promoting rehabilitation.</w:t>
      </w:r>
    </w:p>
    <w:p w:rsidR="00FB4812" w:rsidRP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Default="00FB4812" w:rsidP="00FB4812">
      <w:pPr>
        <w:rPr>
          <w:rFonts w:ascii="Arial" w:hAnsi="Arial" w:cs="Arial"/>
        </w:rPr>
      </w:pPr>
    </w:p>
    <w:p w:rsidR="00FB4812" w:rsidRPr="00FB4812" w:rsidRDefault="00FB4812" w:rsidP="00FB4812">
      <w:pPr>
        <w:rPr>
          <w:rFonts w:ascii="Arial" w:hAnsi="Arial" w:cs="Arial"/>
          <w:b/>
        </w:rPr>
      </w:pPr>
      <w:r w:rsidRPr="00FB4812">
        <w:rPr>
          <w:rFonts w:ascii="Arial" w:hAnsi="Arial" w:cs="Arial"/>
          <w:b/>
        </w:rPr>
        <w:lastRenderedPageBreak/>
        <w:t>LIST OF REFERENCES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proofErr w:type="spellStart"/>
      <w:r w:rsidRPr="00FB4812">
        <w:rPr>
          <w:rFonts w:ascii="Arial" w:hAnsi="Arial" w:cs="Arial"/>
        </w:rPr>
        <w:t>Bezuidenhout</w:t>
      </w:r>
      <w:proofErr w:type="spellEnd"/>
      <w:r w:rsidRPr="00FB4812">
        <w:rPr>
          <w:rFonts w:ascii="Arial" w:hAnsi="Arial" w:cs="Arial"/>
        </w:rPr>
        <w:t xml:space="preserve">, C. &amp; </w:t>
      </w:r>
      <w:proofErr w:type="spellStart"/>
      <w:r w:rsidRPr="00FB4812">
        <w:rPr>
          <w:rFonts w:ascii="Arial" w:hAnsi="Arial" w:cs="Arial"/>
        </w:rPr>
        <w:t>Joubert</w:t>
      </w:r>
      <w:proofErr w:type="spellEnd"/>
      <w:r w:rsidRPr="00FB4812">
        <w:rPr>
          <w:rFonts w:ascii="Arial" w:hAnsi="Arial" w:cs="Arial"/>
        </w:rPr>
        <w:t>, S. 2003. Child and youth misbehaviour in South Africa: A holistic approach. Pretoria: Van Schaik.</w:t>
      </w:r>
    </w:p>
    <w:p w:rsidR="00FB4812" w:rsidRPr="00FB4812" w:rsidRDefault="00FB4812" w:rsidP="00FB4812">
      <w:pPr>
        <w:rPr>
          <w:rFonts w:ascii="Arial" w:hAnsi="Arial" w:cs="Arial"/>
        </w:rPr>
      </w:pPr>
    </w:p>
    <w:p w:rsidR="00FB4812" w:rsidRPr="00FB4812" w:rsidRDefault="00FB4812" w:rsidP="00FB4812">
      <w:pPr>
        <w:rPr>
          <w:rFonts w:ascii="Arial" w:hAnsi="Arial" w:cs="Arial"/>
        </w:rPr>
      </w:pPr>
      <w:proofErr w:type="spellStart"/>
      <w:r w:rsidRPr="00FB4812">
        <w:rPr>
          <w:rFonts w:ascii="Arial" w:hAnsi="Arial" w:cs="Arial"/>
        </w:rPr>
        <w:t>Ekobi</w:t>
      </w:r>
      <w:proofErr w:type="spellEnd"/>
      <w:r w:rsidRPr="00FB4812">
        <w:rPr>
          <w:rFonts w:ascii="Arial" w:hAnsi="Arial" w:cs="Arial"/>
        </w:rPr>
        <w:t xml:space="preserve">, G.A., </w:t>
      </w:r>
      <w:proofErr w:type="spellStart"/>
      <w:r w:rsidRPr="00FB4812">
        <w:rPr>
          <w:rFonts w:ascii="Arial" w:hAnsi="Arial" w:cs="Arial"/>
        </w:rPr>
        <w:t>Mangwiro</w:t>
      </w:r>
      <w:proofErr w:type="spellEnd"/>
      <w:r w:rsidRPr="00FB4812">
        <w:rPr>
          <w:rFonts w:ascii="Arial" w:hAnsi="Arial" w:cs="Arial"/>
        </w:rPr>
        <w:t xml:space="preserve">, V.P. &amp; </w:t>
      </w:r>
      <w:proofErr w:type="spellStart"/>
      <w:r w:rsidRPr="00FB4812">
        <w:rPr>
          <w:rFonts w:ascii="Arial" w:hAnsi="Arial" w:cs="Arial"/>
        </w:rPr>
        <w:t>Tanga</w:t>
      </w:r>
      <w:proofErr w:type="spellEnd"/>
      <w:r w:rsidRPr="00FB4812">
        <w:rPr>
          <w:rFonts w:ascii="Arial" w:hAnsi="Arial" w:cs="Arial"/>
        </w:rPr>
        <w:t>, P.T. 2024. Challenges faced by diversion programmes for young offenders. EUREKA: Social and Humanities, 1: 30-37.</w:t>
      </w:r>
    </w:p>
    <w:p w:rsidR="00FB4812" w:rsidRPr="00FB4812" w:rsidRDefault="00FB4812" w:rsidP="00FB4812">
      <w:pPr>
        <w:rPr>
          <w:rFonts w:ascii="Arial" w:hAnsi="Arial" w:cs="Arial"/>
        </w:rPr>
      </w:pPr>
    </w:p>
    <w:p w:rsidR="00FB4812" w:rsidRPr="00FB4812" w:rsidRDefault="00FB4812" w:rsidP="00FB4812">
      <w:pPr>
        <w:rPr>
          <w:rFonts w:ascii="Arial" w:hAnsi="Arial" w:cs="Arial"/>
        </w:rPr>
      </w:pPr>
      <w:proofErr w:type="spellStart"/>
      <w:r w:rsidRPr="00FB4812">
        <w:rPr>
          <w:rFonts w:ascii="Arial" w:hAnsi="Arial" w:cs="Arial"/>
        </w:rPr>
        <w:t>Hargovan</w:t>
      </w:r>
      <w:proofErr w:type="spellEnd"/>
      <w:r w:rsidRPr="00FB4812">
        <w:rPr>
          <w:rFonts w:ascii="Arial" w:hAnsi="Arial" w:cs="Arial"/>
        </w:rPr>
        <w:t>, H. 2016. Child justice in practice: The diversion of young offenders. South African Crime Quarterly, 44: 45-52.</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Skelton, A. 2011. Child justice in South Africa. Cape Town: </w:t>
      </w:r>
      <w:proofErr w:type="spellStart"/>
      <w:r w:rsidRPr="00FB4812">
        <w:rPr>
          <w:rFonts w:ascii="Arial" w:hAnsi="Arial" w:cs="Arial"/>
        </w:rPr>
        <w:t>Juta</w:t>
      </w:r>
      <w:proofErr w:type="spellEnd"/>
      <w:r w:rsidRPr="00FB4812">
        <w:rPr>
          <w:rFonts w:ascii="Arial" w:hAnsi="Arial" w:cs="Arial"/>
        </w:rPr>
        <w:t>.</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 xml:space="preserve">Skelton, A. &amp; </w:t>
      </w:r>
      <w:proofErr w:type="spellStart"/>
      <w:r w:rsidRPr="00FB4812">
        <w:rPr>
          <w:rFonts w:ascii="Arial" w:hAnsi="Arial" w:cs="Arial"/>
        </w:rPr>
        <w:t>Tshehla</w:t>
      </w:r>
      <w:proofErr w:type="spellEnd"/>
      <w:r w:rsidRPr="00FB4812">
        <w:rPr>
          <w:rFonts w:ascii="Arial" w:hAnsi="Arial" w:cs="Arial"/>
        </w:rPr>
        <w:t>, M. 2008. Child justice in South Africa. Pretoria: Institute for Security Studies.</w:t>
      </w:r>
    </w:p>
    <w:p w:rsidR="00FB4812" w:rsidRPr="00FB4812" w:rsidRDefault="00FB4812" w:rsidP="00FB4812">
      <w:pPr>
        <w:rPr>
          <w:rFonts w:ascii="Arial" w:hAnsi="Arial" w:cs="Arial"/>
        </w:rPr>
      </w:pPr>
    </w:p>
    <w:p w:rsidR="00FB4812" w:rsidRPr="00FB4812" w:rsidRDefault="00FB4812" w:rsidP="00FB4812">
      <w:pPr>
        <w:rPr>
          <w:rFonts w:ascii="Arial" w:hAnsi="Arial" w:cs="Arial"/>
        </w:rPr>
      </w:pPr>
      <w:r w:rsidRPr="00FB4812">
        <w:rPr>
          <w:rFonts w:ascii="Arial" w:hAnsi="Arial" w:cs="Arial"/>
        </w:rPr>
        <w:t>Sloth-Nielsen, J. 2018. Child justice and law reform in South Africa. South African Journal of Criminal Justice, 31(2): 172-187.</w:t>
      </w:r>
    </w:p>
    <w:p w:rsidR="00FB4812" w:rsidRPr="00FB4812" w:rsidRDefault="00FB4812" w:rsidP="00FB4812">
      <w:pPr>
        <w:rPr>
          <w:rFonts w:ascii="Arial" w:hAnsi="Arial" w:cs="Arial"/>
        </w:rPr>
      </w:pPr>
    </w:p>
    <w:p w:rsidR="002005BD" w:rsidRPr="00FB4812" w:rsidRDefault="00FB4812" w:rsidP="00FB4812">
      <w:pPr>
        <w:rPr>
          <w:rFonts w:ascii="Arial" w:hAnsi="Arial" w:cs="Arial"/>
        </w:rPr>
      </w:pPr>
      <w:r w:rsidRPr="00FB4812">
        <w:rPr>
          <w:rFonts w:ascii="Arial" w:hAnsi="Arial" w:cs="Arial"/>
        </w:rPr>
        <w:t>University of South Africa (UNISA). 2026. Dealing with youth offenders: CMY2604 study guide. Pretoria: UNISA.</w:t>
      </w:r>
    </w:p>
    <w:sectPr w:rsidR="002005BD" w:rsidRPr="00FB48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812"/>
    <w:rsid w:val="002005BD"/>
    <w:rsid w:val="006C0779"/>
    <w:rsid w:val="00820E71"/>
    <w:rsid w:val="00BA297D"/>
    <w:rsid w:val="00FB481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56ABE"/>
  <w15:chartTrackingRefBased/>
  <w15:docId w15:val="{970C2E52-3318-47E6-87C7-1B29DEA4E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2733</TotalTime>
  <Pages>10</Pages>
  <Words>2009</Words>
  <Characters>11454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T450</dc:creator>
  <cp:keywords/>
  <dc:description/>
  <cp:lastModifiedBy>T450</cp:lastModifiedBy>
  <cp:revision>1</cp:revision>
  <dcterms:created xsi:type="dcterms:W3CDTF">2026-03-14T19:55:00Z</dcterms:created>
  <dcterms:modified xsi:type="dcterms:W3CDTF">2026-03-16T17:28:00Z</dcterms:modified>
</cp:coreProperties>
</file>