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ot5x5y6jhxa4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Egyptian HS Code Tariff Scraper - Technical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Ogbonna Ngwu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bb05xumq8axk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ind w:left="-40" w:right="-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Python script automates the extraction of Egyptian customs tariff data (Import Taxes and VAT) from the </w:t>
      </w:r>
      <w:hyperlink r:id="rId6">
        <w:r w:rsidDel="00000000" w:rsidR="00000000" w:rsidRPr="00000000">
          <w:rPr>
            <w:rFonts w:ascii="Roboto" w:cs="Roboto" w:eastAsia="Roboto" w:hAnsi="Roboto"/>
            <w:color w:val="3b82f6"/>
            <w:sz w:val="24"/>
            <w:szCs w:val="24"/>
            <w:rtl w:val="0"/>
          </w:rPr>
          <w:t xml:space="preserve">Nafeza government portal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a comprehensive list of HS codes. It handles over 500 HS codes, extracts tax rates, and exports structured data to Excel.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k7wuo95bs0o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vhuumit25a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gjq4rflb1px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6x0b9ddlxy8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grdaetj5c6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r2jf8h72lkr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8bj02cis56g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zm20qii075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jideffjgjq6x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opgxnw2lww74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2.1 Component Diagram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j183mn5i2ps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qunz8evk71f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2.2 Technology Stack</w:t>
      </w:r>
    </w:p>
    <w:tbl>
      <w:tblPr>
        <w:tblStyle w:val="Table1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800"/>
        <w:gridCol w:w="3900"/>
        <w:tblGridChange w:id="0">
          <w:tblGrid>
            <w:gridCol w:w="2190"/>
            <w:gridCol w:w="1800"/>
            <w:gridCol w:w="3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Browser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Pyppeteer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Simulates human browsing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HTML Parsing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BeautifulSoup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Extracts data from API responses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Structures scraped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Excel Export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OpenPyXL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Generates formatted spreadsheets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Async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asyncio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Handles concurrent operations</w:t>
            </w:r>
          </w:p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70ercgsrpjvv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Code Walkthrough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vts2bqyxvksz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3.1 Core Functions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bookmarkStart w:colFirst="0" w:colLast="0" w:name="_6qqbjkuiif9v" w:id="16"/>
      <w:bookmarkEnd w:id="16"/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scrape_hs_code(hs_code, browser)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Handles single HS code scraping with error encapsulation.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bookmarkStart w:colFirst="0" w:colLast="0" w:name="_mxlo0zumd1wj" w:id="17"/>
      <w:bookmarkEnd w:id="17"/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parse_response(content)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Key Logic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Uses Arabic keywords to identify tax types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Returns structured dictionary with fallback "N/A" values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bookmarkStart w:colFirst="0" w:colLast="0" w:name="_odqwy0nbakzu" w:id="18"/>
      <w:bookmarkEnd w:id="18"/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get_browser()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Fallback Mechanism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Attempts to use local Chrome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Downloads Chromium v818858 if missing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xa6hab3ifdo6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3.2 Main Execution Flow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a4gfvunufmfh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4. Data Structure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r0wpa7p13juv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4.1 Output Format</w:t>
      </w:r>
    </w:p>
    <w:tbl>
      <w:tblPr>
        <w:tblStyle w:val="Table2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800"/>
        <w:gridCol w:w="2940"/>
        <w:gridCol w:w="1875"/>
        <w:tblGridChange w:id="0">
          <w:tblGrid>
            <w:gridCol w:w="1815"/>
            <w:gridCol w:w="1800"/>
            <w:gridCol w:w="2940"/>
            <w:gridCol w:w="18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HS_Code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10-digit HS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"0303920000"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Arabic 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Jomhuria" w:cs="Jomhuria" w:eastAsia="Jomhuria" w:hAnsi="Jomhuria"/>
                <w:color w:val="404040"/>
                <w:sz w:val="23"/>
                <w:szCs w:val="23"/>
                <w:highlight w:val="white"/>
                <w:rtl w:val="1"/>
              </w:rPr>
              <w:t xml:space="preserve">زعانف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color w:val="404040"/>
                <w:sz w:val="23"/>
                <w:szCs w:val="23"/>
                <w:highlight w:val="white"/>
                <w:rtl w:val="1"/>
              </w:rPr>
              <w:t xml:space="preserve">اسماك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..."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Import_Tax_Basic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Base import duty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"20.000 %"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Import_Tax_EFTA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EFTA preferential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"2.500 %"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VAT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Value Added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"14.000 %"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Success/Error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xmnfv5396a4e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5. Error Handling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5r8r9ux71qyr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5.1 Common Scenarios</w:t>
      </w:r>
    </w:p>
    <w:tbl>
      <w:tblPr>
        <w:tblStyle w:val="Table3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400"/>
        <w:gridCol w:w="1890"/>
        <w:tblGridChange w:id="0">
          <w:tblGrid>
            <w:gridCol w:w="2580"/>
            <w:gridCol w:w="2400"/>
            <w:gridCol w:w="18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Error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Handling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Connection 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Retry up to 3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TimeoutError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Missing Data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Populate with "N/A"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KeyError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Invalid Response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Skip record, log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Malformed 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uz93xmc9vvtz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6. Performance Optimization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t3xx8o7jhqkj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6.1 Timing Benchmarks</w:t>
      </w:r>
    </w:p>
    <w:tbl>
      <w:tblPr>
        <w:tblStyle w:val="Table4"/>
        <w:tblW w:w="6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00"/>
        <w:gridCol w:w="3135"/>
        <w:tblGridChange w:id="0">
          <w:tblGrid>
            <w:gridCol w:w="1950"/>
            <w:gridCol w:w="1800"/>
            <w:gridCol w:w="31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Avg.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Page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2.1s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Depends on network latency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Data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0.3s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Per HS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Full 500-code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~25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With 3s random delays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nsy1jun1syja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6.2 Memory Management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Each browser page closed after use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finally: await page.close()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Chromium processes terminated post-execution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feza.gov.eg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Jomhuri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