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AI-Powered Political Candidate Comparison Feature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AI Models and Techniques: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Natural Language Processing (NLP): Deploy NLP to analyze candidates' speeches, debates, and public statements to extract sentiment, tone, and policy preferences. This will help users understand each candidate's stance on key issues. This way, the users are able to easily look up a candidate’s possible future policies in the product.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Recommendation system: offer this as a feature in the product where a voter is asked basic political questions on the kind of president he imagined for America, the system then matches this preference to a candidate whose political outlooks/views closely matches that of the voter’s.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Cloud ML feature design: Computation done in the cloud and the results delivered on the end users’ device. It is assumed that this feature is for US citizens so there will be no concern of latency in data transmission as the major cloud computing giants’ data centers are common in the US.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Use Online Learning Model deployment and Prediction: Continual re-training as new data arrives (mins/hours) using each new datapoint once to handle big data and real-time adaptation to changes in the political environment. Real-time predictions generation upon user request. Though harder to implement, but with higher scalability potential.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Live Data Feeds Integration: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API Integration: integrate live data feeds from reputable sources, such as news outlets and social media platforms, to keep comparisons up-to-date and relevant. Check out the platforms where the candidates have more voice and monitor closely.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Real-time Sentiment Analysis: NLP algorithms will continuously monitor social media and news outlets, providing real-time sentiment analysis and updating comparisons accordingly.</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User Feedback Loop: Users will have the opportunity to provide feedback on comparisons, which will be incorporated into future models optimization to improve their accuracy and relevance.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