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val="0"/>
          <w:sz w:val="26"/>
        </w:rPr>
        <w:t>*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đã có nhiều phương pháp được nghiên cứu: phương pháp tương đối (dead-reckoning) dựa trên odometry từ encoder bánh xe và cảm biến quán tính (IMU) để tích lũy quãng đường và hướng [11]; phương pháp tuyệt đối dùng GPS, mốc định vị (landmark/beacon) hoặc bản đồ biết trước; và các kỹ thuật hiện đại như định vị và dựng bản đồ đồng thời (SLAM) bằng LiDAR hoặc camera [16]. Mỗi phương pháp là một sự đánh đổi giữa độ chính xác, chi phí và độ phức tạp tính toán: odometry đơn giản, rẻ, tần số cao nhưng sai số tích lũy (trôi) theo quãng đường; SLAM chính xác và không trôi nhưng đòi hỏi cảm biến đắt tiền cùng năng lực tính toán lớn. Để giảm trôi của odometry, kỹ thuật hợp nhất cảm biến (sensor fusion) — tiêu biểu là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hoặc bộ lọc Kalman — thường được dùng để kết hợp tín hiệu con quay hồi chuyển và gia tốc kế nhằm ước lượng góc hướng ổn định hơn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thuật toán dựa trên đồ thị/lưới, còn có nhóm thuật toán lấy mẫu ngẫu nhiên (RRT, PRM) phù hợp cho không gian cấu hình nhiều chiều [12].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Ở quy mô công nghiệp, robot tự hành thường được trang bị cảm biến đắt tiền (LiDAR, camera độ phân giải cao, GPS-RTK) cùng máy tính nhúng mạnh để chạy SLAM và thị giác máy tính [16]. Tuy nhiên, chi phí và độ phức tạp này là rào cản lớn đối với sinh viên và các dự án học thuật. Một hướng tiếp cận khác đang được quan tâm là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Trong số đó, ESP32 — vi điều khiển lõi kép tích hợp sẵn WiFi/Bluetooth, giá rẻ, cộng đồng hỗ trợ lớn — nổi lên như một nền tảng phù hợp cho các ứng dụng IoT và robot nhỏ [1], [17]. Kết hợp ESP32 với encoder bánh xe, IMU giá rẻ (như MPU-6050 [3]) và một điện thoại thông minh làm giao diện, hoàn toàn có thể dựng được một robot tự hành cơ bản đủ chức năng định vị – tìm đường – bám lộ trình với chi phí chỉ bằng một phần nhỏ so với hệ thống công nghiệp.</w:t>
      </w:r>
    </w:p>
    <w:p>
      <w:pPr>
        <w:jc w:val="both"/>
      </w:pPr>
      <w:r>
        <w:rPr>
          <w:rFonts w:ascii="Times New Roman" w:hAnsi="Times New Roman" w:cs="Times New Roman"/>
          <w:b w:val="0"/>
          <w:i w:val="0"/>
          <w:sz w:val="26"/>
        </w:rPr>
        <w:t xml:space="preserve">Từ thực trạng trên có thể thấy: robot tự hành là lĩnh vực quan trọng và đang phát triển mạnh, nhưng việc tiếp cận thực hành còn vướng rào cản về chi phí phần cứng và độ phức tạp thuật toán. Việc xây dựng một nền tảng robot tự hành </w:t>
      </w:r>
      <w:r>
        <w:rPr>
          <w:rFonts w:ascii="Times New Roman" w:hAnsi="Times New Roman" w:cs="Times New Roman"/>
          <w:b/>
          <w:i w:val="0"/>
          <w:sz w:val="26"/>
        </w:rPr>
        <w:t>chi phí thấp, module hóa, dễ mở rộng và không phụ thuộc hạ tầng Internet</w:t>
      </w:r>
      <w:r>
        <w:rPr>
          <w:rFonts w:ascii="Times New Roman" w:hAnsi="Times New Roman" w:cs="Times New Roman"/>
          <w:b w:val="0"/>
          <w:i w:val="0"/>
          <w:sz w:val="26"/>
        </w:rPr>
        <w:t xml:space="preserve"> vì vậy mang ý nghĩa thực tiễn rõ rệt: vừa là sản phẩm học tập giúp người thực hiện nắm vững trọn vẹn chuỗi kiến thức nền (điều khiển động cơ DC qua mạch cầu L298N [4], đọc và xử lý cảm biến siêu âm HC-SR04 [5], encoder và IMU, ước lượng odometry, lập kế hoạch đường đi, truyền thông không dây),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w:t>
      </w:r>
    </w:p>
    <w:p>
      <w:pPr>
        <w:pStyle w:val="ListBullet"/>
        <w:ind w:left="425"/>
      </w:pPr>
      <w:r>
        <w:rPr>
          <w:rFonts w:ascii="Times New Roman" w:hAnsi="Times New Roman" w:cs="Times New Roman"/>
          <w:b w:val="0"/>
          <w:i w:val="0"/>
          <w:sz w:val="26"/>
        </w:rPr>
        <w:t>Nghiên cứu và lựa chọn phần cứng phù hợp: vi điều khiển, mạch lái động cơ, encoder, cảm biến quán tính, cảm biến khoảng cách.</w:t>
      </w:r>
    </w:p>
    <w:p>
      <w:pPr>
        <w:pStyle w:val="ListBullet"/>
        <w:ind w:left="425"/>
      </w:pPr>
      <w:r>
        <w:rPr>
          <w:rFonts w:ascii="Times New Roman" w:hAnsi="Times New Roman" w:cs="Times New Roman"/>
          <w:b w:val="0"/>
          <w:i w:val="0"/>
          <w:sz w:val="26"/>
        </w:rPr>
        <w:t>Xây dựng firmware ESP32 module hóa: điều khiển động cơ, đọc encoder/IMU/siêu âm, ước lượng odometry, máy trạng thái điều hướng giữa các node.</w:t>
      </w:r>
    </w:p>
    <w:p>
      <w:pPr>
        <w:pStyle w:val="ListBullet"/>
        <w:ind w:left="425"/>
      </w:pPr>
      <w:r>
        <w:rPr>
          <w:rFonts w:ascii="Times New Roman" w:hAnsi="Times New Roman" w:cs="Times New Roman"/>
          <w:b w:val="0"/>
          <w:i w:val="0"/>
          <w:sz w:val="26"/>
        </w:rPr>
        <w:t>Xây dựng ứng dụng di động (Flutter) hiển thị bản đồ, tính đường đi bằng A*, gửi lộ trình và hiển thị vị trí xe theo thời gian thực.</w:t>
      </w:r>
    </w:p>
    <w:p>
      <w:pPr>
        <w:pStyle w:val="ListBullet"/>
        <w:ind w:left="425"/>
      </w:pPr>
      <w:r>
        <w:rPr>
          <w:rFonts w:ascii="Times New Roman" w:hAnsi="Times New Roman" w:cs="Times New Roman"/>
          <w:b w:val="0"/>
          <w:i w:val="0"/>
          <w:sz w:val="26"/>
        </w:rPr>
        <w:t>Thiết kế giao thức truyền thông UDP độ trễ thấp giữa app và ESP32.</w:t>
      </w:r>
    </w:p>
    <w:p>
      <w:pPr>
        <w:pStyle w:val="ListBullet"/>
        <w:ind w:left="425"/>
      </w:pPr>
      <w:r>
        <w:rPr>
          <w:rFonts w:ascii="Times New Roman" w:hAnsi="Times New Roman" w:cs="Times New Roman"/>
          <w:b w:val="0"/>
          <w:i w:val="0"/>
          <w:sz w:val="26"/>
        </w:rPr>
        <w:t>Tích hợp cơ chế tự hiệu chuẩn để giảm sai số định vị, đảm bảo hệ thống hoạt động ổn định, chính xác trong phạm vi cho phép.</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r>
        <w:rPr>
          <w:rFonts w:ascii="Times New Roman" w:hAnsi="Times New Roman" w:cs="Times New Roman"/>
          <w:b w:val="0"/>
          <w:i w:val="0"/>
          <w:sz w:val="26"/>
        </w:rPr>
        <w:t xml:space="preserve"> giới hạn ở quy mô phòng thí nghiệm/trong nhà, trên mặt sàn phẳng, bản đồ biết trước dạng lưới điểm 5×5 m. Đề tài </w:t>
      </w:r>
      <w:r>
        <w:rPr>
          <w:rFonts w:ascii="Times New Roman" w:hAnsi="Times New Roman" w:cs="Times New Roman"/>
          <w:b/>
          <w:i w:val="0"/>
          <w:sz w:val="26"/>
        </w:rPr>
        <w:t>không</w:t>
      </w:r>
      <w:r>
        <w:rPr>
          <w:rFonts w:ascii="Times New Roman" w:hAnsi="Times New Roman" w:cs="Times New Roman"/>
          <w:b w:val="0"/>
          <w:i w:val="0"/>
          <w:sz w:val="26"/>
        </w:rPr>
        <w:t xml:space="preserve"> sử dụng các công nghệ cao cấp như LiDAR, camera AI, GPS hay SLAM xây bản đồ động; định vị dựa hoàn toàn vào odometry tương đối (dead-reckoning). Việc thu gọn phạm vi như vậy giúp tập trung giải quyết trọn vẹn bài toán định vị - dẫn đường - bám lộ trình cơ bản với chi phí thấp.</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[25], [30]: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mỗi bánh đo được từ encoder.</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[13]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pPr>
        <w:jc w:val="both"/>
      </w:pPr>
      <w:r>
        <w:rPr>
          <w:rFonts w:ascii="Times New Roman" w:hAnsi="Times New Roman" w:cs="Times New Roman"/>
          <w:b/>
          <w:i w:val="0"/>
          <w:sz w:val="26"/>
        </w:rPr>
        <w:t>Sách và bài báo khoa học về robot di động, định vị và dẫn đường:</w:t>
      </w:r>
    </w:p>
    <w:p>
      <w:pPr>
        <w:jc w:val="both"/>
      </w:pPr>
      <w:r>
        <w:rPr>
          <w:rFonts w:ascii="Times New Roman" w:hAnsi="Times New Roman" w:cs="Times New Roman"/>
          <w:b w:val="0"/>
          <w:i w:val="0"/>
          <w:sz w:val="26"/>
        </w:rPr>
        <w:t xml:space="preserve">[10] R. Siegwart, I. R. Nourbakhsh, D. Scaramuzza, </w:t>
      </w:r>
      <w:r>
        <w:rPr>
          <w:rFonts w:ascii="Times New Roman" w:hAnsi="Times New Roman" w:cs="Times New Roman"/>
          <w:b w:val="0"/>
          <w:i/>
          <w:sz w:val="26"/>
        </w:rPr>
        <w:t>Introduction to Autonomous Mobile Robots</w:t>
      </w:r>
      <w:r>
        <w:rPr>
          <w:rFonts w:ascii="Times New Roman" w:hAnsi="Times New Roman" w:cs="Times New Roman"/>
          <w:b w:val="0"/>
          <w:i w:val="0"/>
          <w:sz w:val="26"/>
        </w:rPr>
        <w:t>, 2nd ed., MIT Press, 2011.</w:t>
      </w:r>
    </w:p>
    <w:p>
      <w:pPr>
        <w:jc w:val="both"/>
      </w:pPr>
      <w:r>
        <w:rPr>
          <w:rFonts w:ascii="Times New Roman" w:hAnsi="Times New Roman" w:cs="Times New Roman"/>
          <w:b w:val="0"/>
          <w:i w:val="0"/>
          <w:sz w:val="26"/>
        </w:rPr>
        <w:t xml:space="preserve">[11] J. Borenstein, H. R. Everett, L. Feng, </w:t>
      </w:r>
      <w:r>
        <w:rPr>
          <w:rFonts w:ascii="Times New Roman" w:hAnsi="Times New Roman" w:cs="Times New Roman"/>
          <w:b w:val="0"/>
          <w:i/>
          <w:sz w:val="26"/>
        </w:rPr>
        <w:t>Where am I? Sensors and Methods for Mobile Robot Positioning</w:t>
      </w:r>
      <w:r>
        <w:rPr>
          <w:rFonts w:ascii="Times New Roman" w:hAnsi="Times New Roman" w:cs="Times New Roman"/>
          <w:b w:val="0"/>
          <w:i w:val="0"/>
          <w:sz w:val="26"/>
        </w:rPr>
        <w:t>, University of Michigan, 1996.</w:t>
      </w:r>
    </w:p>
    <w:p>
      <w:pPr>
        <w:jc w:val="both"/>
      </w:pPr>
      <w:r>
        <w:rPr>
          <w:rFonts w:ascii="Times New Roman" w:hAnsi="Times New Roman" w:cs="Times New Roman"/>
          <w:b w:val="0"/>
          <w:i w:val="0"/>
          <w:sz w:val="26"/>
        </w:rPr>
        <w:t xml:space="preserve">[12] S. M. LaValle, </w:t>
      </w:r>
      <w:r>
        <w:rPr>
          <w:rFonts w:ascii="Times New Roman" w:hAnsi="Times New Roman" w:cs="Times New Roman"/>
          <w:b w:val="0"/>
          <w:i/>
          <w:sz w:val="26"/>
        </w:rPr>
        <w:t>Planning Algorithms</w:t>
      </w:r>
      <w:r>
        <w:rPr>
          <w:rFonts w:ascii="Times New Roman" w:hAnsi="Times New Roman" w:cs="Times New Roman"/>
          <w:b w:val="0"/>
          <w:i w:val="0"/>
          <w:sz w:val="26"/>
        </w:rPr>
        <w:t>, Cambridge University Press, 2006. [Online]. http://lavalle.pl/planning/</w:t>
      </w:r>
    </w:p>
    <w:p>
      <w:pPr>
        <w:jc w:val="both"/>
      </w:pPr>
      <w:r>
        <w:rPr>
          <w:rFonts w:ascii="Times New Roman" w:hAnsi="Times New Roman" w:cs="Times New Roman"/>
          <w:b w:val="0"/>
          <w:i w:val="0"/>
          <w:sz w:val="26"/>
        </w:rPr>
        <w:t xml:space="preserve">[13] E. W. Dijkstra, "A note on two problems in connexion with graphs", </w:t>
      </w:r>
      <w:r>
        <w:rPr>
          <w:rFonts w:ascii="Times New Roman" w:hAnsi="Times New Roman" w:cs="Times New Roman"/>
          <w:b w:val="0"/>
          <w:i/>
          <w:sz w:val="26"/>
        </w:rPr>
        <w:t>Numerische Mathematik</w:t>
      </w:r>
      <w:r>
        <w:rPr>
          <w:rFonts w:ascii="Times New Roman" w:hAnsi="Times New Roman" w:cs="Times New Roman"/>
          <w:b w:val="0"/>
          <w:i w:val="0"/>
          <w:sz w:val="26"/>
        </w:rPr>
        <w:t>, vol. 1, pp. 269–271, 1959.</w:t>
      </w:r>
    </w:p>
    <w:p>
      <w:pPr>
        <w:jc w:val="both"/>
      </w:pPr>
      <w:r>
        <w:rPr>
          <w:rFonts w:ascii="Times New Roman" w:hAnsi="Times New Roman" w:cs="Times New Roman"/>
          <w:b w:val="0"/>
          <w:i w:val="0"/>
          <w:sz w:val="26"/>
        </w:rPr>
        <w:t xml:space="preserve">[14] R. Mahony, T. Hamel, J.-M. Pflimlin, "Nonlinear Complementary Filters on the Special Orthogonal Group", </w:t>
      </w:r>
      <w:r>
        <w:rPr>
          <w:rFonts w:ascii="Times New Roman" w:hAnsi="Times New Roman" w:cs="Times New Roman"/>
          <w:b w:val="0"/>
          <w:i/>
          <w:sz w:val="26"/>
        </w:rPr>
        <w:t>IEEE Transactions on Automatic Control</w:t>
      </w:r>
      <w:r>
        <w:rPr>
          <w:rFonts w:ascii="Times New Roman" w:hAnsi="Times New Roman" w:cs="Times New Roman"/>
          <w:b w:val="0"/>
          <w:i w:val="0"/>
          <w:sz w:val="26"/>
        </w:rPr>
        <w:t>, vol. 53, no. 5, pp. 1203–1218, 2008.</w:t>
      </w:r>
    </w:p>
    <w:p>
      <w:pPr>
        <w:jc w:val="both"/>
      </w:pPr>
      <w:r>
        <w:rPr>
          <w:rFonts w:ascii="Times New Roman" w:hAnsi="Times New Roman" w:cs="Times New Roman"/>
          <w:b w:val="0"/>
          <w:i w:val="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sz w:val="26"/>
        </w:rPr>
        <w:t>Annals of Operations Research</w:t>
      </w:r>
      <w:r>
        <w:rPr>
          <w:rFonts w:ascii="Times New Roman" w:hAnsi="Times New Roman" w:cs="Times New Roman"/>
          <w:b w:val="0"/>
          <w:i w:val="0"/>
          <w:sz w:val="26"/>
        </w:rPr>
        <w:t>, vol. 308, pp. 125–143, 2021.</w:t>
      </w:r>
    </w:p>
    <w:p>
      <w:pPr>
        <w:jc w:val="both"/>
      </w:pPr>
      <w:r>
        <w:rPr>
          <w:rFonts w:ascii="Times New Roman" w:hAnsi="Times New Roman" w:cs="Times New Roman"/>
          <w:b w:val="0"/>
          <w:i w:val="0"/>
          <w:sz w:val="26"/>
        </w:rPr>
        <w:t xml:space="preserve">[16] C. Cadena et al., "Past, Present, and Future of Simultaneous Localization and Mapping: Toward the Robust-Perception Age", </w:t>
      </w:r>
      <w:r>
        <w:rPr>
          <w:rFonts w:ascii="Times New Roman" w:hAnsi="Times New Roman" w:cs="Times New Roman"/>
          <w:b w:val="0"/>
          <w:i/>
          <w:sz w:val="26"/>
        </w:rPr>
        <w:t>IEEE Transactions on Robotics</w:t>
      </w:r>
      <w:r>
        <w:rPr>
          <w:rFonts w:ascii="Times New Roman" w:hAnsi="Times New Roman" w:cs="Times New Roman"/>
          <w:b w:val="0"/>
          <w:i w:val="0"/>
          <w:sz w:val="26"/>
        </w:rPr>
        <w:t>, vol. 32, no. 6, pp. 1309–1332, 2016.</w:t>
      </w:r>
    </w:p>
    <w:p>
      <w:pPr>
        <w:jc w:val="both"/>
      </w:pPr>
      <w:r>
        <w:rPr>
          <w:rFonts w:ascii="Times New Roman" w:hAnsi="Times New Roman" w:cs="Times New Roman"/>
          <w:b w:val="0"/>
          <w:i w:val="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sz w:val="26"/>
        </w:rPr>
        <w:t>Proc. 7th IEEE Int. Conf. on Internet Technologies and Applications (ITA)</w:t>
      </w:r>
      <w:r>
        <w:rPr>
          <w:rFonts w:ascii="Times New Roman" w:hAnsi="Times New Roman" w:cs="Times New Roman"/>
          <w:b w:val="0"/>
          <w:i w:val="0"/>
          <w:sz w:val="26"/>
        </w:rPr>
        <w:t>, 2017, pp. 143–148.</w:t>
      </w:r>
    </w:p>
    <w:p>
      <w:pPr>
        <w:jc w:val="both"/>
      </w:pPr>
      <w:r>
        <w:rPr>
          <w:rFonts w:ascii="Times New Roman" w:hAnsi="Times New Roman" w:cs="Times New Roman"/>
          <w:b/>
          <w:i w:val="0"/>
          <w:sz w:val="26"/>
        </w:rPr>
        <w:t>Chuẩn giao tiếp, vi điều khiển và linh kiện:</w:t>
      </w:r>
    </w:p>
    <w:p>
      <w:pPr>
        <w:jc w:val="both"/>
      </w:pPr>
      <w:r>
        <w:rPr>
          <w:rFonts w:ascii="Times New Roman" w:hAnsi="Times New Roman" w:cs="Times New Roman"/>
          <w:b w:val="0"/>
          <w:i w:val="0"/>
          <w:sz w:val="26"/>
        </w:rPr>
        <w:t xml:space="preserve">[18] Espressif Systems, </w:t>
      </w:r>
      <w:r>
        <w:rPr>
          <w:rFonts w:ascii="Times New Roman" w:hAnsi="Times New Roman" w:cs="Times New Roman"/>
          <w:b w:val="0"/>
          <w:i/>
          <w:sz w:val="26"/>
        </w:rPr>
        <w:t>ESP32 Technical Reference Manual</w:t>
      </w:r>
      <w:r>
        <w:rPr>
          <w:rFonts w:ascii="Times New Roman" w:hAnsi="Times New Roman" w:cs="Times New Roman"/>
          <w:b w:val="0"/>
          <w:i w:val="0"/>
          <w:sz w:val="26"/>
        </w:rPr>
        <w:t>, v5.x, 2023. [Online]. https://www.espressif.com/sites/default/files/documentation/esp32_technical_reference_manual_en.pdf</w:t>
      </w:r>
    </w:p>
    <w:p>
      <w:pPr>
        <w:jc w:val="both"/>
      </w:pPr>
      <w:r>
        <w:rPr>
          <w:rFonts w:ascii="Times New Roman" w:hAnsi="Times New Roman" w:cs="Times New Roman"/>
          <w:b w:val="0"/>
          <w:i w:val="0"/>
          <w:sz w:val="26"/>
        </w:rPr>
        <w:t xml:space="preserve">[19] NXP Semiconductors, </w:t>
      </w:r>
      <w:r>
        <w:rPr>
          <w:rFonts w:ascii="Times New Roman" w:hAnsi="Times New Roman" w:cs="Times New Roman"/>
          <w:b w:val="0"/>
          <w:i/>
          <w:sz w:val="26"/>
        </w:rPr>
        <w:t>I2C-bus Specification and User Manual</w:t>
      </w:r>
      <w:r>
        <w:rPr>
          <w:rFonts w:ascii="Times New Roman" w:hAnsi="Times New Roman" w:cs="Times New Roman"/>
          <w:b w:val="0"/>
          <w:i w:val="0"/>
          <w:sz w:val="26"/>
        </w:rPr>
        <w:t xml:space="preserve"> (UM10204), Rev. 7.0, 2021.</w:t>
      </w:r>
    </w:p>
    <w:p>
      <w:pPr>
        <w:jc w:val="both"/>
      </w:pPr>
      <w:r>
        <w:rPr>
          <w:rFonts w:ascii="Times New Roman" w:hAnsi="Times New Roman" w:cs="Times New Roman"/>
          <w:b w:val="0"/>
          <w:i w:val="0"/>
          <w:sz w:val="26"/>
        </w:rPr>
        <w:t xml:space="preserve">[20] D. W. Hart, </w:t>
      </w:r>
      <w:r>
        <w:rPr>
          <w:rFonts w:ascii="Times New Roman" w:hAnsi="Times New Roman" w:cs="Times New Roman"/>
          <w:b w:val="0"/>
          <w:i/>
          <w:sz w:val="26"/>
        </w:rPr>
        <w:t>Power Electronics</w:t>
      </w:r>
      <w:r>
        <w:rPr>
          <w:rFonts w:ascii="Times New Roman" w:hAnsi="Times New Roman" w:cs="Times New Roman"/>
          <w:b w:val="0"/>
          <w:i w:val="0"/>
          <w:sz w:val="26"/>
        </w:rPr>
        <w:t>, McGraw-Hill, 2011 (chương về điều chế độ rộng xung PWM).</w:t>
      </w:r>
    </w:p>
    <w:p>
      <w:pPr>
        <w:jc w:val="both"/>
      </w:pPr>
      <w:r>
        <w:rPr>
          <w:rFonts w:ascii="Times New Roman" w:hAnsi="Times New Roman" w:cs="Times New Roman"/>
          <w:b w:val="0"/>
          <w:i w:val="0"/>
          <w:sz w:val="26"/>
        </w:rPr>
        <w:t xml:space="preserve">[21] Texas Instruments, </w:t>
      </w:r>
      <w:r>
        <w:rPr>
          <w:rFonts w:ascii="Times New Roman" w:hAnsi="Times New Roman" w:cs="Times New Roman"/>
          <w:b w:val="0"/>
          <w:i/>
          <w:sz w:val="26"/>
        </w:rPr>
        <w:t>LMx93, LM2903 Differential Comparators Datasheet</w:t>
      </w:r>
      <w:r>
        <w:rPr>
          <w:rFonts w:ascii="Times New Roman" w:hAnsi="Times New Roman" w:cs="Times New Roman"/>
          <w:b w:val="0"/>
          <w:i w:val="0"/>
          <w:sz w:val="26"/>
        </w:rPr>
        <w:t>, 2022. [Online]. https://www.ti.com/lit/ds/symlink/lm393.pdf</w:t>
      </w:r>
    </w:p>
    <w:p>
      <w:pPr>
        <w:jc w:val="both"/>
      </w:pPr>
      <w:r>
        <w:rPr>
          <w:rFonts w:ascii="Times New Roman" w:hAnsi="Times New Roman" w:cs="Times New Roman"/>
          <w:b w:val="0"/>
          <w:i w:val="0"/>
          <w:sz w:val="26"/>
        </w:rPr>
        <w:t xml:space="preserve">[22] IEEE, </w:t>
      </w:r>
      <w:r>
        <w:rPr>
          <w:rFonts w:ascii="Times New Roman" w:hAnsi="Times New Roman" w:cs="Times New Roman"/>
          <w:b w:val="0"/>
          <w:i/>
          <w:sz w:val="26"/>
        </w:rPr>
        <w:t>IEEE Std 802.11-2020 — Wireless LAN Medium Access Control (MAC) and Physical Layer (PHY) Specifications</w:t>
      </w:r>
      <w:r>
        <w:rPr>
          <w:rFonts w:ascii="Times New Roman" w:hAnsi="Times New Roman" w:cs="Times New Roman"/>
          <w:b w:val="0"/>
          <w:i w:val="0"/>
          <w:sz w:val="26"/>
        </w:rPr>
        <w:t>, 2021.</w:t>
      </w:r>
    </w:p>
    <w:p>
      <w:pPr>
        <w:jc w:val="both"/>
      </w:pPr>
      <w:r>
        <w:rPr>
          <w:rFonts w:ascii="Times New Roman" w:hAnsi="Times New Roman" w:cs="Times New Roman"/>
          <w:b w:val="0"/>
          <w:i w:val="0"/>
          <w:sz w:val="26"/>
        </w:rPr>
        <w:t>[23] J. Postel, "User Datagram Protocol", RFC 768, IETF, 1980. [Online]. https://www.rfc-editor.org/rfc/rfc768</w:t>
      </w:r>
    </w:p>
    <w:p>
      <w:pPr>
        <w:jc w:val="both"/>
      </w:pPr>
      <w:r>
        <w:rPr>
          <w:rFonts w:ascii="Times New Roman" w:hAnsi="Times New Roman" w:cs="Times New Roman"/>
          <w:b/>
          <w:i w:val="0"/>
          <w:sz w:val="26"/>
        </w:rPr>
        <w:t>Động học, định vị, hợp nhất cảm biến và tìm đường:</w:t>
      </w:r>
    </w:p>
    <w:p>
      <w:pPr>
        <w:jc w:val="both"/>
      </w:pPr>
      <w:r>
        <w:rPr>
          <w:rFonts w:ascii="Times New Roman" w:hAnsi="Times New Roman" w:cs="Times New Roman"/>
          <w:b w:val="0"/>
          <w:i w:val="0"/>
          <w:sz w:val="26"/>
        </w:rPr>
        <w:t xml:space="preserve">[24] G. Dudek, M. Jenkin, </w:t>
      </w:r>
      <w:r>
        <w:rPr>
          <w:rFonts w:ascii="Times New Roman" w:hAnsi="Times New Roman" w:cs="Times New Roman"/>
          <w:b w:val="0"/>
          <w:i/>
          <w:sz w:val="26"/>
        </w:rPr>
        <w:t>Computational Principles of Mobile Robotics</w:t>
      </w:r>
      <w:r>
        <w:rPr>
          <w:rFonts w:ascii="Times New Roman" w:hAnsi="Times New Roman" w:cs="Times New Roman"/>
          <w:b w:val="0"/>
          <w:i w:val="0"/>
          <w:sz w:val="26"/>
        </w:rPr>
        <w:t>, 2nd ed., Cambridge University Press, 2010.</w:t>
      </w:r>
    </w:p>
    <w:p>
      <w:pPr>
        <w:jc w:val="both"/>
      </w:pPr>
      <w:r>
        <w:rPr>
          <w:rFonts w:ascii="Times New Roman" w:hAnsi="Times New Roman" w:cs="Times New Roman"/>
          <w:b w:val="0"/>
          <w:i w:val="0"/>
          <w:sz w:val="26"/>
        </w:rPr>
        <w:t xml:space="preserve">[25] K. M. Lynch, F. C. Park, </w:t>
      </w:r>
      <w:r>
        <w:rPr>
          <w:rFonts w:ascii="Times New Roman" w:hAnsi="Times New Roman" w:cs="Times New Roman"/>
          <w:b w:val="0"/>
          <w:i/>
          <w:sz w:val="26"/>
        </w:rPr>
        <w:t>Modern Robotics: Mechanics, Planning, and Control</w:t>
      </w:r>
      <w:r>
        <w:rPr>
          <w:rFonts w:ascii="Times New Roman" w:hAnsi="Times New Roman" w:cs="Times New Roman"/>
          <w:b w:val="0"/>
          <w:i w:val="0"/>
          <w:sz w:val="26"/>
        </w:rPr>
        <w:t>, Cambridge University Press, 2017.</w:t>
      </w:r>
    </w:p>
    <w:p>
      <w:pPr>
        <w:jc w:val="both"/>
      </w:pPr>
      <w:r>
        <w:rPr>
          <w:rFonts w:ascii="Times New Roman" w:hAnsi="Times New Roman" w:cs="Times New Roman"/>
          <w:b w:val="0"/>
          <w:i w:val="0"/>
          <w:sz w:val="26"/>
        </w:rPr>
        <w:t xml:space="preserve">[26] R. E. Kalman, "A New Approach to Linear Filtering and Prediction Problems", </w:t>
      </w:r>
      <w:r>
        <w:rPr>
          <w:rFonts w:ascii="Times New Roman" w:hAnsi="Times New Roman" w:cs="Times New Roman"/>
          <w:b w:val="0"/>
          <w:i/>
          <w:sz w:val="26"/>
        </w:rPr>
        <w:t>Journal of Basic Engineering</w:t>
      </w:r>
      <w:r>
        <w:rPr>
          <w:rFonts w:ascii="Times New Roman" w:hAnsi="Times New Roman" w:cs="Times New Roman"/>
          <w:b w:val="0"/>
          <w:i w:val="0"/>
          <w:sz w:val="26"/>
        </w:rPr>
        <w:t>, vol. 82, no. 1, pp. 35–45, 1960.</w:t>
      </w:r>
    </w:p>
    <w:p>
      <w:pPr>
        <w:jc w:val="both"/>
      </w:pPr>
      <w:r>
        <w:rPr>
          <w:rFonts w:ascii="Times New Roman" w:hAnsi="Times New Roman" w:cs="Times New Roman"/>
          <w:b w:val="0"/>
          <w:i w:val="0"/>
          <w:sz w:val="26"/>
        </w:rPr>
        <w:t xml:space="preserve">[27] G. Welch, G. Bishop, </w:t>
      </w:r>
      <w:r>
        <w:rPr>
          <w:rFonts w:ascii="Times New Roman" w:hAnsi="Times New Roman" w:cs="Times New Roman"/>
          <w:b w:val="0"/>
          <w:i/>
          <w:sz w:val="26"/>
        </w:rPr>
        <w:t>An Introduction to the Kalman Filter</w:t>
      </w:r>
      <w:r>
        <w:rPr>
          <w:rFonts w:ascii="Times New Roman" w:hAnsi="Times New Roman" w:cs="Times New Roman"/>
          <w:b w:val="0"/>
          <w:i w:val="0"/>
          <w:sz w:val="26"/>
        </w:rPr>
        <w:t>, Technical Report TR 95-041, University of North Carolina at Chapel Hill, 2006.</w:t>
      </w:r>
    </w:p>
    <w:p>
      <w:pPr>
        <w:jc w:val="both"/>
      </w:pPr>
      <w:r>
        <w:rPr>
          <w:rFonts w:ascii="Times New Roman" w:hAnsi="Times New Roman" w:cs="Times New Roman"/>
          <w:b w:val="0"/>
          <w:i w:val="0"/>
          <w:sz w:val="26"/>
        </w:rPr>
        <w:t xml:space="preserve">[28] S. J. Russell, P. Norvig, </w:t>
      </w:r>
      <w:r>
        <w:rPr>
          <w:rFonts w:ascii="Times New Roman" w:hAnsi="Times New Roman" w:cs="Times New Roman"/>
          <w:b w:val="0"/>
          <w:i/>
          <w:sz w:val="26"/>
        </w:rPr>
        <w:t>Artificial Intelligence: A Modern Approach</w:t>
      </w:r>
      <w:r>
        <w:rPr>
          <w:rFonts w:ascii="Times New Roman" w:hAnsi="Times New Roman" w:cs="Times New Roman"/>
          <w:b w:val="0"/>
          <w:i w:val="0"/>
          <w:sz w:val="26"/>
        </w:rPr>
        <w:t>, 4th ed., Pearson, 2021 (chương tìm kiếm heuristic, A*).</w:t>
      </w:r>
    </w:p>
    <w:p>
      <w:pPr>
        <w:jc w:val="both"/>
      </w:pPr>
      <w:r>
        <w:rPr>
          <w:rFonts w:ascii="Times New Roman" w:hAnsi="Times New Roman" w:cs="Times New Roman"/>
          <w:b w:val="0"/>
          <w:i w:val="0"/>
          <w:sz w:val="26"/>
        </w:rPr>
        <w:t>[29] S. Koenig, M. Likhachev, "D</w:t>
      </w:r>
      <w:r>
        <w:rPr>
          <w:rFonts w:ascii="Times New Roman" w:hAnsi="Times New Roman" w:cs="Times New Roman"/>
          <w:b w:val="0"/>
          <w:i/>
          <w:sz w:val="26"/>
        </w:rPr>
        <w:t xml:space="preserve"> Lite", in </w:t>
      </w:r>
      <w:r>
        <w:rPr>
          <w:rFonts w:ascii="Times New Roman" w:hAnsi="Times New Roman" w:cs="Times New Roman"/>
          <w:b w:val="0"/>
          <w:i w:val="0"/>
          <w:sz w:val="26"/>
        </w:rPr>
        <w:t>Proc. AAAI Conf. on Artificial Intelligence*, 2002, pp. 476–483.</w:t>
      </w:r>
    </w:p>
    <w:p>
      <w:pPr>
        <w:jc w:val="both"/>
      </w:pPr>
      <w:r>
        <w:rPr>
          <w:rFonts w:ascii="Times New Roman" w:hAnsi="Times New Roman" w:cs="Times New Roman"/>
          <w:b w:val="0"/>
          <w:i w:val="0"/>
          <w:sz w:val="26"/>
        </w:rPr>
        <w:t xml:space="preserve">[30] P. Corke, </w:t>
      </w:r>
      <w:r>
        <w:rPr>
          <w:rFonts w:ascii="Times New Roman" w:hAnsi="Times New Roman" w:cs="Times New Roman"/>
          <w:b w:val="0"/>
          <w:i/>
          <w:sz w:val="26"/>
        </w:rPr>
        <w:t>Robotics, Vision and Control: Fundamental Algorithms in MATLAB</w:t>
      </w:r>
      <w:r>
        <w:rPr>
          <w:rFonts w:ascii="Times New Roman" w:hAnsi="Times New Roman" w:cs="Times New Roman"/>
          <w:b w:val="0"/>
          <w:i w:val="0"/>
          <w:sz w:val="26"/>
        </w:rPr>
        <w:t>, 2nd ed., Springer, 2017.</w:t>
      </w:r>
    </w:p>
    <w:p>
      <w:pPr>
        <w:jc w:val="both"/>
      </w:pPr>
      <w:r>
        <w:rPr>
          <w:rFonts w:ascii="Times New Roman" w:hAnsi="Times New Roman" w:cs="Times New Roman"/>
          <w:b/>
          <w:i w:val="0"/>
          <w:sz w:val="26"/>
        </w:rPr>
        <w:t>Công cụ và nền tảng phát triển:</w:t>
      </w:r>
    </w:p>
    <w:p>
      <w:pPr>
        <w:jc w:val="both"/>
      </w:pPr>
      <w:r>
        <w:rPr>
          <w:rFonts w:ascii="Times New Roman" w:hAnsi="Times New Roman" w:cs="Times New Roman"/>
          <w:b w:val="0"/>
          <w:i w:val="0"/>
          <w:sz w:val="26"/>
        </w:rPr>
        <w:t xml:space="preserve">[31] PlatformIO Labs, </w:t>
      </w:r>
      <w:r>
        <w:rPr>
          <w:rFonts w:ascii="Times New Roman" w:hAnsi="Times New Roman" w:cs="Times New Roman"/>
          <w:b w:val="0"/>
          <w:i/>
          <w:sz w:val="26"/>
        </w:rPr>
        <w:t>PlatformIO Documentation</w:t>
      </w:r>
      <w:r>
        <w:rPr>
          <w:rFonts w:ascii="Times New Roman" w:hAnsi="Times New Roman" w:cs="Times New Roman"/>
          <w:b w:val="0"/>
          <w:i w:val="0"/>
          <w:sz w:val="26"/>
        </w:rPr>
        <w:t>. [Online]. https://docs.platformio.org/</w:t>
      </w:r>
    </w:p>
    <w:p>
      <w:pPr>
        <w:jc w:val="both"/>
      </w:pPr>
      <w:r>
        <w:rPr>
          <w:rFonts w:ascii="Times New Roman" w:hAnsi="Times New Roman" w:cs="Times New Roman"/>
          <w:b w:val="0"/>
          <w:i w:val="0"/>
          <w:sz w:val="26"/>
        </w:rPr>
        <w:t xml:space="preserve">[32] Espressif Systems, </w:t>
      </w:r>
      <w:r>
        <w:rPr>
          <w:rFonts w:ascii="Times New Roman" w:hAnsi="Times New Roman" w:cs="Times New Roman"/>
          <w:b w:val="0"/>
          <w:i/>
          <w:sz w:val="26"/>
        </w:rPr>
        <w:t>Non-Volatile Storage (NVS) Library — ESP-IDF Programming Guide</w:t>
      </w:r>
      <w:r>
        <w:rPr>
          <w:rFonts w:ascii="Times New Roman" w:hAnsi="Times New Roman" w:cs="Times New Roman"/>
          <w:b w:val="0"/>
          <w:i w:val="0"/>
          <w:sz w:val="26"/>
        </w:rPr>
        <w:t>. [Online]. https://docs.espressif.com/projects/esp-idf/en/latest/esp32/api-reference/storage/nvs_flash.html</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