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9.png" ContentType="image/png"/>
  <Override PartName="/word/media/rId42.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Monthly Solar Irradiance in Kuala Lumpur</w:t>
      </w:r>
    </w:p>
    <w:p>
      <w:pPr>
        <w:pStyle w:val="Author"/>
      </w:pPr>
      <w:r>
        <w:t xml:space="preserve">[Member 1 name]</w:t>
      </w:r>
    </w:p>
    <w:p>
      <w:pPr>
        <w:pStyle w:val="Affiliation"/>
      </w:pPr>
      <w:r>
        <w:t xml:space="preserve">[University and faculty]</w:t>
      </w:r>
      <w:r>
        <w:br/>
      </w:r>
      <w:r>
        <w:t xml:space="preserve">BMMS2094 Statistics for Data Science · Student ID: [ID] · Tutorial/Group: [Identifier]</w:t>
      </w:r>
      <w:r>
        <w:br/>
      </w:r>
      <w:r>
        <w:t xml:space="preserve">Assigned model: Seasonal ARIMA · Submission date: [DD Month YYYY]</w:t>
      </w:r>
    </w:p>
    <w:p>
      <w:pPr>
        <w:sectPr>
          <w:type w:val="continuous"/>
          <w:pgSz w:w="12240" w:h="15840"/>
          <w:pgMar w:top="1080" w:right="893" w:bottom="1440" w:left="893" w:header="720" w:footer="720" w:gutter="0"/>
          <w:cols w:num="1" w:space="720"/>
          <w:docGrid w:linePitch="360"/>
        </w:sectPr>
      </w:pPr>
    </w:p>
    <w:bookmarkStart w:id="22" w:name="methodology"/>
    <w:p>
      <w:pPr>
        <w:pStyle w:val="Heading1"/>
      </w:pPr>
      <w:r>
        <w:t xml:space="preserve">Methodology</w:t>
      </w:r>
    </w:p>
    <w:p>
      <w:pPr>
        <w:pStyle w:val="FirstParagraph"/>
      </w:pPr>
      <w:r>
        <w:t xml:space="preserve">This report proposes evaluating SARIMA for monthly Kuala Lumpur solar irradiance (kWh/m²/day) from NASA POWER</w:t>
      </w:r>
      <w:r>
        <w:t xml:space="preserve"> </w:t>
      </w:r>
      <w:r>
        <w:t xml:space="preserve">(NASA Prediction Of Worldwide Energy Resources, n.d.)</w:t>
      </w:r>
      <w:r>
        <w:t xml:space="preserve">. SARIMA is a reasonable candidate because it can represent ordinary and annual-lag dependence after differencing. A seasonal model is written as ARIMA</w:t>
      </w:r>
      <m:oMath>
        <m:r>
          <m:rPr>
            <m:sty m:val="p"/>
          </m:rPr>
          <m:t>(</m:t>
        </m:r>
        <m:r>
          <m:t>p</m:t>
        </m:r>
        <m:r>
          <m:rPr>
            <m:sty m:val="p"/>
          </m:rPr>
          <m:t>,</m:t>
        </m:r>
        <m:r>
          <m:t>d</m:t>
        </m:r>
        <m:r>
          <m:rPr>
            <m:sty m:val="p"/>
          </m:rPr>
          <m:t>,</m:t>
        </m:r>
        <m:r>
          <m:t>q</m:t>
        </m:r>
        <m:r>
          <m:rPr>
            <m:sty m:val="p"/>
          </m:rPr>
          <m:t>)</m:t>
        </m:r>
        <m:r>
          <m:rPr>
            <m:sty m:val="p"/>
          </m:rPr>
          <m:t>(</m:t>
        </m:r>
        <m:r>
          <m:t>P</m:t>
        </m:r>
        <m:r>
          <m:rPr>
            <m:sty m:val="p"/>
          </m:rPr>
          <m:t>,</m:t>
        </m:r>
        <m:r>
          <m:t>D</m:t>
        </m:r>
        <m:r>
          <m:rPr>
            <m:sty m:val="p"/>
          </m:rPr>
          <m:t>,</m:t>
        </m:r>
        <m:r>
          <m:t>Q</m:t>
        </m:r>
        <m:sSub>
          <m:e>
            <m:r>
              <m:rPr>
                <m:sty m:val="p"/>
              </m:rPr>
              <m:t>)</m:t>
            </m:r>
          </m:e>
          <m:sub>
            <m:r>
              <m:t>12</m:t>
            </m:r>
          </m:sub>
        </m:sSub>
      </m:oMath>
      <w:r>
        <w:t xml:space="preserve">, where</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 </w:t>
      </w:r>
      <w:r>
        <w:t xml:space="preserve">are ordinary/seasonal AR and MA orders, while</w:t>
      </w:r>
      <w:r>
        <w:t xml:space="preserve"> </w:t>
      </w:r>
      <m:oMath>
        <m:r>
          <m:t>d</m:t>
        </m:r>
        <m:r>
          <m:rPr>
            <m:sty m:val="p"/>
          </m:rPr>
          <m:t>/</m:t>
        </m:r>
        <m:r>
          <m:t>D</m:t>
        </m:r>
      </m:oMath>
      <w:r>
        <w:t xml:space="preserve"> </w:t>
      </w:r>
      <w:r>
        <w:t xml:space="preserve">are ordinary/seasonal differences</w:t>
      </w:r>
      <w:r>
        <w:t xml:space="preserve"> </w:t>
      </w:r>
      <w:r>
        <w:t xml:space="preserve">(Hyndman &amp; Athanasopoulos, 2021)</w:t>
      </w:r>
      <w:r>
        <w:t xml:space="preserve">.</w:t>
      </w:r>
    </w:p>
    <w:p>
      <w:pPr>
        <w:pStyle w:val="BodyText"/>
      </w:pPr>
      <w:r>
        <w:t xml:space="preserve">An 80:20 chronological split would use January 2001–December 2020 for training and January 2021–December 2025 for testing; chronological order would prevent future leakage. The need for a variance-stabilising transformation would be assessed using training data only, with the response scale preferred when diagnostics did not justify transformation and direct interpretation remained important.</w:t>
      </w:r>
    </w:p>
    <w:p>
      <w:pPr>
        <w:pStyle w:val="BodyText"/>
      </w:pPr>
      <w:r>
        <w:t xml:space="preserve">Model identification would follow the Box–Jenkins sequence manually using the training sample only. First, the time plot, year-level means and standard deviations, and Guerrero’s Box–Cox estimate would be reviewed together; a transformation would be applied only if the seasonal spread clearly changed with the level. Second,</w:t>
      </w:r>
      <w:r>
        <w:t xml:space="preserve"> </w:t>
      </w:r>
      <m:oMath>
        <m:r>
          <m:t>D</m:t>
        </m:r>
      </m:oMath>
      <w:r>
        <w:t xml:space="preserve"> </w:t>
      </w:r>
      <w:r>
        <w:t xml:space="preserve">would be chosen by inspecting annual repetition and the lag-12 difference, with</w:t>
      </w:r>
      <w:r>
        <w:t xml:space="preserve"> </w:t>
      </w:r>
      <w:r>
        <w:rPr>
          <w:rStyle w:val="VerbatimChar"/>
        </w:rPr>
        <w:t xml:space="preserve">nsdiffs()</w:t>
      </w:r>
      <w:r>
        <w:t xml:space="preserve"> </w:t>
      </w:r>
      <w:r>
        <w:t xml:space="preserve">used only as supporting evidence;</w:t>
      </w:r>
      <w:r>
        <w:t xml:space="preserve"> </w:t>
      </w:r>
      <m:oMath>
        <m:r>
          <m:t>d</m:t>
        </m:r>
      </m:oMath>
      <w:r>
        <w:t xml:space="preserve"> </w:t>
      </w:r>
      <w:r>
        <w:t xml:space="preserve">would then be chosen from the post-seasonal-difference plot, ACF, and KPSS evidence, with</w:t>
      </w:r>
      <w:r>
        <w:t xml:space="preserve"> </w:t>
      </w:r>
      <w:r>
        <w:rPr>
          <w:rStyle w:val="VerbatimChar"/>
        </w:rPr>
        <w:t xml:space="preserve">ndiffs()</w:t>
      </w:r>
      <w:r>
        <w:t xml:space="preserve"> </w:t>
      </w:r>
      <w:r>
        <w:t xml:space="preserve">again treated as a check rather than an automatic decision. The smallest adequate differencing orders would be preferred to avoid overdifferencing.</w:t>
      </w:r>
    </w:p>
    <w:p>
      <w:pPr>
        <w:pStyle w:val="BodyText"/>
      </w:pPr>
      <w:r>
        <w:t xml:space="preserve">Third, the ACF and PACF of the locked differenced series would be read at ordinary lags 1–2 and seasonal lags 12 and 24. An ACF cut-off would suggest MA terms, a PACF cut-off would suggest AR terms, and spikes at multiples of 12 would suggest seasonal terms. This procedure would define eight deliberately small candidates: ARIMA</w:t>
      </w:r>
      <m:oMath>
        <m:r>
          <m:rPr>
            <m:sty m:val="p"/>
          </m:rPr>
          <m:t>(</m:t>
        </m:r>
        <m:r>
          <m:t>1</m:t>
        </m:r>
        <m:r>
          <m:rPr>
            <m:sty m:val="p"/>
          </m:rPr>
          <m:t>,</m:t>
        </m:r>
        <m:r>
          <m:t>0</m:t>
        </m:r>
        <m:r>
          <m:rPr>
            <m:sty m:val="p"/>
          </m:rPr>
          <m:t>,</m:t>
        </m:r>
        <m:r>
          <m:t>0</m:t>
        </m:r>
        <m:r>
          <m:rPr>
            <m:sty m:val="p"/>
          </m:rPr>
          <m:t>)</m:t>
        </m:r>
        <m:r>
          <m:rPr>
            <m:sty m:val="p"/>
          </m:rPr>
          <m:t>(</m:t>
        </m:r>
        <m:r>
          <m:t>0</m:t>
        </m:r>
        <m:r>
          <m:rPr>
            <m:sty m:val="p"/>
          </m:rPr>
          <m:t>,</m:t>
        </m:r>
        <m:r>
          <m:t>1</m:t>
        </m:r>
        <m:r>
          <m:rPr>
            <m:sty m:val="p"/>
          </m:rPr>
          <m:t>,</m:t>
        </m:r>
        <m:r>
          <m:t>1</m:t>
        </m:r>
        <m:sSub>
          <m:e>
            <m:r>
              <m:rPr>
                <m:sty m:val="p"/>
              </m:rPr>
              <m:t>)</m:t>
            </m:r>
          </m:e>
          <m:sub>
            <m:r>
              <m:t>12</m:t>
            </m:r>
          </m:sub>
        </m:sSub>
      </m:oMath>
      <w:r>
        <w:t xml:space="preserve">,</w:t>
      </w:r>
      <w:r>
        <w:t xml:space="preserve"> </w:t>
      </w:r>
      <m:oMath>
        <m:r>
          <m:rPr>
            <m:sty m:val="p"/>
          </m:rPr>
          <m:t>(</m:t>
        </m:r>
        <m:r>
          <m:t>0</m:t>
        </m:r>
        <m:r>
          <m:rPr>
            <m:sty m:val="p"/>
          </m:rPr>
          <m:t>,</m:t>
        </m:r>
        <m:r>
          <m:t>0</m:t>
        </m:r>
        <m:r>
          <m:rPr>
            <m:sty m:val="p"/>
          </m:rPr>
          <m:t>,</m:t>
        </m:r>
        <m:r>
          <m:t>1</m:t>
        </m:r>
        <m:r>
          <m:rPr>
            <m:sty m:val="p"/>
          </m:rPr>
          <m:t>)</m:t>
        </m:r>
        <m:r>
          <m:rPr>
            <m:sty m:val="p"/>
          </m:rPr>
          <m:t>(</m:t>
        </m:r>
        <m:r>
          <m:t>0</m:t>
        </m:r>
        <m:r>
          <m:rPr>
            <m:sty m:val="p"/>
          </m:rPr>
          <m:t>,</m:t>
        </m:r>
        <m:r>
          <m:t>1</m:t>
        </m:r>
        <m:r>
          <m:rPr>
            <m:sty m:val="p"/>
          </m:rPr>
          <m:t>,</m:t>
        </m:r>
        <m:r>
          <m:t>1</m:t>
        </m:r>
        <m:sSub>
          <m:e>
            <m:r>
              <m:rPr>
                <m:sty m:val="p"/>
              </m:rPr>
              <m:t>)</m:t>
            </m:r>
          </m:e>
          <m:sub>
            <m:r>
              <m:t>12</m:t>
            </m:r>
          </m:sub>
        </m:sSub>
      </m:oMath>
      <w:r>
        <w:t xml:space="preserve">,</w:t>
      </w:r>
      <w:r>
        <w:t xml:space="preserve"> </w:t>
      </w:r>
      <m:oMath>
        <m:r>
          <m:rPr>
            <m:sty m:val="p"/>
          </m:rPr>
          <m:t>(</m:t>
        </m:r>
        <m:r>
          <m:t>0</m:t>
        </m:r>
        <m:r>
          <m:rPr>
            <m:sty m:val="p"/>
          </m:rPr>
          <m:t>,</m:t>
        </m:r>
        <m:r>
          <m:t>0</m:t>
        </m:r>
        <m:r>
          <m:rPr>
            <m:sty m:val="p"/>
          </m:rPr>
          <m:t>,</m:t>
        </m:r>
        <m:r>
          <m:t>2</m:t>
        </m:r>
        <m:r>
          <m:rPr>
            <m:sty m:val="p"/>
          </m:rPr>
          <m:t>)</m:t>
        </m:r>
        <m:r>
          <m:rPr>
            <m:sty m:val="p"/>
          </m:rPr>
          <m:t>(</m:t>
        </m:r>
        <m:r>
          <m:t>0</m:t>
        </m:r>
        <m:r>
          <m:rPr>
            <m:sty m:val="p"/>
          </m:rPr>
          <m:t>,</m:t>
        </m:r>
        <m:r>
          <m:t>1</m:t>
        </m:r>
        <m:r>
          <m:rPr>
            <m:sty m:val="p"/>
          </m:rPr>
          <m:t>,</m:t>
        </m:r>
        <m:r>
          <m:t>1</m:t>
        </m:r>
        <m:sSub>
          <m:e>
            <m:r>
              <m:rPr>
                <m:sty m:val="p"/>
              </m:rPr>
              <m:t>)</m:t>
            </m:r>
          </m:e>
          <m:sub>
            <m:r>
              <m:t>12</m:t>
            </m:r>
          </m:sub>
        </m:sSub>
      </m:oMath>
      <w:r>
        <w:t xml:space="preserve">,</w:t>
      </w:r>
      <w:r>
        <w:t xml:space="preserve"> </w:t>
      </w:r>
      <m:oMath>
        <m:r>
          <m:rPr>
            <m:sty m:val="p"/>
          </m:rPr>
          <m:t>(</m:t>
        </m:r>
        <m:r>
          <m:t>2</m:t>
        </m:r>
        <m:r>
          <m:rPr>
            <m:sty m:val="p"/>
          </m:rPr>
          <m:t>,</m:t>
        </m:r>
        <m:r>
          <m:t>0</m:t>
        </m:r>
        <m:r>
          <m:rPr>
            <m:sty m:val="p"/>
          </m:rPr>
          <m:t>,</m:t>
        </m:r>
        <m:r>
          <m:t>0</m:t>
        </m:r>
        <m:r>
          <m:rPr>
            <m:sty m:val="p"/>
          </m:rPr>
          <m:t>)</m:t>
        </m:r>
        <m:r>
          <m:rPr>
            <m:sty m:val="p"/>
          </m:rPr>
          <m:t>(</m:t>
        </m:r>
        <m:r>
          <m:t>0</m:t>
        </m:r>
        <m:r>
          <m:rPr>
            <m:sty m:val="p"/>
          </m:rPr>
          <m:t>,</m:t>
        </m:r>
        <m:r>
          <m:t>1</m:t>
        </m:r>
        <m:r>
          <m:rPr>
            <m:sty m:val="p"/>
          </m:rPr>
          <m:t>,</m:t>
        </m:r>
        <m:r>
          <m:t>1</m:t>
        </m:r>
        <m:sSub>
          <m:e>
            <m:r>
              <m:rPr>
                <m:sty m:val="p"/>
              </m:rPr>
              <m:t>)</m:t>
            </m:r>
          </m:e>
          <m:sub>
            <m:r>
              <m:t>12</m:t>
            </m:r>
          </m:sub>
        </m:sSub>
      </m:oMath>
      <w:r>
        <w:t xml:space="preserve">,</w:t>
      </w:r>
      <w:r>
        <w:t xml:space="preserve"> </w:t>
      </w:r>
      <m:oMath>
        <m:r>
          <m:rPr>
            <m:sty m:val="p"/>
          </m:rPr>
          <m:t>(</m:t>
        </m:r>
        <m:r>
          <m:t>1</m:t>
        </m:r>
        <m:r>
          <m:rPr>
            <m:sty m:val="p"/>
          </m:rPr>
          <m:t>,</m:t>
        </m:r>
        <m:r>
          <m:t>0</m:t>
        </m:r>
        <m:r>
          <m:rPr>
            <m:sty m:val="p"/>
          </m:rPr>
          <m:t>,</m:t>
        </m:r>
        <m:r>
          <m:t>1</m:t>
        </m:r>
        <m:r>
          <m:rPr>
            <m:sty m:val="p"/>
          </m:rPr>
          <m:t>)</m:t>
        </m:r>
        <m:r>
          <m:rPr>
            <m:sty m:val="p"/>
          </m:rPr>
          <m:t>(</m:t>
        </m:r>
        <m:r>
          <m:t>0</m:t>
        </m:r>
        <m:r>
          <m:rPr>
            <m:sty m:val="p"/>
          </m:rPr>
          <m:t>,</m:t>
        </m:r>
        <m:r>
          <m:t>1</m:t>
        </m:r>
        <m:r>
          <m:rPr>
            <m:sty m:val="p"/>
          </m:rPr>
          <m:t>,</m:t>
        </m:r>
        <m:r>
          <m:t>1</m:t>
        </m:r>
        <m:sSub>
          <m:e>
            <m:r>
              <m:rPr>
                <m:sty m:val="p"/>
              </m:rPr>
              <m:t>)</m:t>
            </m:r>
          </m:e>
          <m:sub>
            <m:r>
              <m:t>12</m:t>
            </m:r>
          </m:sub>
        </m:sSub>
      </m:oMath>
      <w:r>
        <w:t xml:space="preserve">,</w:t>
      </w:r>
      <w:r>
        <w:t xml:space="preserve"> </w:t>
      </w:r>
      <m:oMath>
        <m:r>
          <m:rPr>
            <m:sty m:val="p"/>
          </m:rPr>
          <m:t>(</m:t>
        </m:r>
        <m:r>
          <m:t>1</m:t>
        </m:r>
        <m:r>
          <m:rPr>
            <m:sty m:val="p"/>
          </m:rPr>
          <m:t>,</m:t>
        </m:r>
        <m:r>
          <m:t>0</m:t>
        </m:r>
        <m:r>
          <m:rPr>
            <m:sty m:val="p"/>
          </m:rPr>
          <m:t>,</m:t>
        </m:r>
        <m:r>
          <m:t>0</m:t>
        </m:r>
        <m:r>
          <m:rPr>
            <m:sty m:val="p"/>
          </m:rPr>
          <m:t>)</m:t>
        </m:r>
        <m:r>
          <m:rPr>
            <m:sty m:val="p"/>
          </m:rPr>
          <m:t>(</m:t>
        </m:r>
        <m:r>
          <m:t>1</m:t>
        </m:r>
        <m:r>
          <m:rPr>
            <m:sty m:val="p"/>
          </m:rPr>
          <m:t>,</m:t>
        </m:r>
        <m:r>
          <m:t>1</m:t>
        </m:r>
        <m:r>
          <m:rPr>
            <m:sty m:val="p"/>
          </m:rPr>
          <m:t>,</m:t>
        </m:r>
        <m:r>
          <m:t>1</m:t>
        </m:r>
        <m:sSub>
          <m:e>
            <m:r>
              <m:rPr>
                <m:sty m:val="p"/>
              </m:rPr>
              <m:t>)</m:t>
            </m:r>
          </m:e>
          <m:sub>
            <m:r>
              <m:t>12</m:t>
            </m:r>
          </m:sub>
        </m:sSub>
      </m:oMath>
      <w:r>
        <w:t xml:space="preserve">,</w:t>
      </w:r>
      <w:r>
        <w:t xml:space="preserve"> </w:t>
      </w:r>
      <m:oMath>
        <m:r>
          <m:rPr>
            <m:sty m:val="p"/>
          </m:rPr>
          <m:t>(</m:t>
        </m:r>
        <m:r>
          <m:t>1</m:t>
        </m:r>
        <m:r>
          <m:rPr>
            <m:sty m:val="p"/>
          </m:rPr>
          <m:t>,</m:t>
        </m:r>
        <m:r>
          <m:t>0</m:t>
        </m:r>
        <m:r>
          <m:rPr>
            <m:sty m:val="p"/>
          </m:rPr>
          <m:t>,</m:t>
        </m:r>
        <m:r>
          <m:t>0</m:t>
        </m:r>
        <m:r>
          <m:rPr>
            <m:sty m:val="p"/>
          </m:rPr>
          <m:t>)</m:t>
        </m:r>
        <m:r>
          <m:rPr>
            <m:sty m:val="p"/>
          </m:rPr>
          <m:t>(</m:t>
        </m:r>
        <m:r>
          <m:t>2</m:t>
        </m:r>
        <m:r>
          <m:rPr>
            <m:sty m:val="p"/>
          </m:rPr>
          <m:t>,</m:t>
        </m:r>
        <m:r>
          <m:t>1</m:t>
        </m:r>
        <m:r>
          <m:rPr>
            <m:sty m:val="p"/>
          </m:rPr>
          <m:t>,</m:t>
        </m:r>
        <m:r>
          <m:t>1</m:t>
        </m:r>
        <m:sSub>
          <m:e>
            <m:r>
              <m:rPr>
                <m:sty m:val="p"/>
              </m:rPr>
              <m:t>)</m:t>
            </m:r>
          </m:e>
          <m:sub>
            <m:r>
              <m:t>12</m:t>
            </m:r>
          </m:sub>
        </m:sSub>
      </m:oMath>
      <w:r>
        <w:t xml:space="preserve">, and</w:t>
      </w:r>
      <w:r>
        <w:t xml:space="preserve"> </w:t>
      </w:r>
      <m:oMath>
        <m:r>
          <m:rPr>
            <m:sty m:val="p"/>
          </m:rPr>
          <m:t>(</m:t>
        </m:r>
        <m:r>
          <m:t>0</m:t>
        </m:r>
        <m:r>
          <m:rPr>
            <m:sty m:val="p"/>
          </m:rPr>
          <m:t>,</m:t>
        </m:r>
        <m:r>
          <m:t>0</m:t>
        </m:r>
        <m:r>
          <m:rPr>
            <m:sty m:val="p"/>
          </m:rPr>
          <m:t>,</m:t>
        </m:r>
        <m:r>
          <m:t>2</m:t>
        </m:r>
        <m:r>
          <m:rPr>
            <m:sty m:val="p"/>
          </m:rPr>
          <m:t>)</m:t>
        </m:r>
        <m:r>
          <m:rPr>
            <m:sty m:val="p"/>
          </m:rPr>
          <m:t>(</m:t>
        </m:r>
        <m:r>
          <m:t>2</m:t>
        </m:r>
        <m:r>
          <m:rPr>
            <m:sty m:val="p"/>
          </m:rPr>
          <m:t>,</m:t>
        </m:r>
        <m:r>
          <m:t>1</m:t>
        </m:r>
        <m:r>
          <m:rPr>
            <m:sty m:val="p"/>
          </m:rPr>
          <m:t>,</m:t>
        </m:r>
        <m:r>
          <m:t>1</m:t>
        </m:r>
        <m:sSub>
          <m:e>
            <m:r>
              <m:rPr>
                <m:sty m:val="p"/>
              </m:rPr>
              <m:t>)</m:t>
            </m:r>
          </m:e>
          <m:sub>
            <m:r>
              <m:t>12</m:t>
            </m:r>
          </m:sub>
        </m:sSub>
      </m:oMath>
      <w:r>
        <w:t xml:space="preserve">. Each would be fitted explicitly with</w:t>
      </w:r>
      <w:r>
        <w:t xml:space="preserve"> </w:t>
      </w:r>
      <w:r>
        <w:rPr>
          <w:rStyle w:val="VerbatimChar"/>
        </w:rPr>
        <w:t xml:space="preserve">forecast::Arima()</w:t>
      </w:r>
      <w:r>
        <w:t xml:space="preserve"> </w:t>
      </w:r>
      <w:r>
        <w:t xml:space="preserve">under the same response scale,</w:t>
      </w:r>
      <w:r>
        <w:t xml:space="preserve"> </w:t>
      </w:r>
      <m:oMath>
        <m:r>
          <m:t>d</m:t>
        </m:r>
      </m:oMath>
      <w:r>
        <w:t xml:space="preserve">,</w:t>
      </w:r>
      <w:r>
        <w:t xml:space="preserve"> </w:t>
      </w:r>
      <m:oMath>
        <m:r>
          <m:t>D</m:t>
        </m:r>
      </m:oMath>
      <w:r>
        <w:t xml:space="preserve">, period 12, no mean or drift, and CSS–ML estimation. Candidates would be ranked by training AICc; the lowest-AICc candidate would be accepted only if its response residuals passed a lag-24 Ljung–Box test at 5% with fitted degrees of freedom and its point forecasts were non-negative. A failed residual gate would trigger the next AICc-ranked candidate rather than an automated search. The accepted order would then be locked before the 2021–2025 holdout and re-estimated on all 300 observations for the 2026 forecast. Coefficients would be likelihood estimates rather than values chosen by hand.</w:t>
      </w:r>
    </w:p>
    <w:p>
      <w:pPr>
        <w:pStyle w:val="BodyText"/>
      </w:pPr>
      <w:r>
        <w:t xml:space="preserve">Response residuals would be assessed over time, by ACF, and with a lag-24 Ljung–Box test using fitted degrees of freedom</w:t>
      </w:r>
      <w:r>
        <w:t xml:space="preserve"> </w:t>
      </w:r>
      <w:r>
        <w:t xml:space="preserve">(Hyndman, n.d.)</w:t>
      </w:r>
      <w:r>
        <w:t xml:space="preserve">. Material residual autocorrelation would trigger a loop back to model identification. Training and test performance would be reported consistently using ME, MSE, RMSE, MAE, MPE, and MAPE, together with each test-minus-training difference. RMSE would remain primary and MAE secondary; ME and MPE would be interpreted by closeness to zero and sign.</w:t>
      </w:r>
    </w:p>
    <w:bookmarkEnd w:id="22"/>
    <w:bookmarkStart w:id="32" w:name="data-analysis-results-and-discussion"/>
    <w:p>
      <w:pPr>
        <w:pStyle w:val="Heading1"/>
      </w:pPr>
      <w:r>
        <w:t xml:space="preserve">Data Analysis (Results and Discussion)</w:t>
      </w:r>
    </w:p>
    <w:p>
      <w:pPr>
        <w:pStyle w:val="FirstParagraph"/>
      </w:pPr>
      <w:r>
        <w:rPr>
          <w:b/>
          <w:bCs/>
        </w:rPr>
        <w:t xml:space="preserve">Step 1 - set the seasonal period and transformation.</w:t>
      </w:r>
      <w:r>
        <w:t xml:space="preserve"> </w:t>
      </w:r>
      <w:r>
        <w:t xml:space="preserve">Monthly observations imply</w:t>
      </w:r>
      <w:r>
        <w:t xml:space="preserve"> </w:t>
      </w:r>
      <m:oMath>
        <m:r>
          <m:t>m</m:t>
        </m:r>
        <m:r>
          <m:rPr>
            <m:sty m:val="p"/>
          </m:rPr>
          <m:t>=</m:t>
        </m:r>
        <m:r>
          <m:t>12</m:t>
        </m:r>
      </m:oMath>
      <w:r>
        <w:t xml:space="preserve">. The training plot showed a recurring annual pattern with broadly stable absolute amplitude. The correlation between each training year’s mean and standard deviation was only 0.261. Although Guerrero’s diagnostic gave a Box–Cox estimate of</w:t>
      </w:r>
      <w:r>
        <w:t xml:space="preserve"> </w:t>
      </w:r>
      <m:oMath>
        <m:r>
          <m:t>λ</m:t>
        </m:r>
        <m:r>
          <m:rPr>
            <m:sty m:val="p"/>
          </m:rPr>
          <m:t>=</m:t>
        </m:r>
        <m:r>
          <m:rPr>
            <m:sty m:val="p"/>
          </m:rPr>
          <m:t>−</m:t>
        </m:r>
        <m:r>
          <m:t>0.622</m:t>
        </m:r>
      </m:oMath>
      <w:r>
        <w:t xml:space="preserve">, the visual and mean–spread evidence did not show variance increasing clearly with level. The response scale was therefore retained so forecasts remain directly interpretable in kWh/m²/day.</w:t>
      </w:r>
    </w:p>
    <w:p>
      <w:pPr>
        <w:pStyle w:val="CaptionedFigure"/>
      </w:pPr>
      <w:r>
        <w:drawing>
          <wp:inline>
            <wp:extent cx="2926080" cy="2560320"/>
            <wp:effectExtent b="0" l="0" r="0" t="0"/>
            <wp:docPr descr="Training series, seasonal difference, ACF, and PACF used for manual SARIMA identification." title="" id="24" name="Picture"/>
            <a:graphic>
              <a:graphicData uri="http://schemas.openxmlformats.org/drawingml/2006/picture">
                <pic:pic>
                  <pic:nvPicPr>
                    <pic:cNvPr descr="../analysis_outputs/nasa/manual_sarima/figures/nasa_sarima_manual_identification.png" id="25" name="Picture"/>
                    <pic:cNvPicPr>
                      <a:picLocks noChangeArrowheads="1" noChangeAspect="1"/>
                    </pic:cNvPicPr>
                  </pic:nvPicPr>
                  <pic:blipFill>
                    <a:blip r:embed="rId23"/>
                    <a:stretch>
                      <a:fillRect/>
                    </a:stretch>
                  </pic:blipFill>
                  <pic:spPr bwMode="auto">
                    <a:xfrm>
                      <a:off x="0" y="0"/>
                      <a:ext cx="2926080" cy="2560320"/>
                    </a:xfrm>
                    <a:prstGeom prst="rect">
                      <a:avLst/>
                    </a:prstGeom>
                    <a:noFill/>
                    <a:ln w="9525">
                      <a:noFill/>
                      <a:headEnd/>
                      <a:tailEnd/>
                    </a:ln>
                  </pic:spPr>
                </pic:pic>
              </a:graphicData>
            </a:graphic>
          </wp:inline>
        </w:drawing>
      </w:r>
    </w:p>
    <w:p>
      <w:pPr>
        <w:pStyle w:val="ImageCaption"/>
      </w:pPr>
      <w:r>
        <w:t xml:space="preserve">Training series, seasonal difference, ACF, and PACF used for manual SARIMA identification.</w:t>
      </w:r>
    </w:p>
    <w:p>
      <w:r>
        <w:br w:type="column"/>
      </w:r>
    </w:p>
    <w:p>
      <w:pPr>
        <w:pStyle w:val="BodyText"/>
      </w:pPr>
      <w:r>
        <w:rPr>
          <w:b/>
          <w:bCs/>
        </w:rPr>
        <w:t xml:space="preserve">Step 2 - choose</w:t>
      </w:r>
      <w:r>
        <w:rPr>
          <w:b/>
          <w:bCs/>
        </w:rPr>
        <w:t xml:space="preserve"> </w:t>
      </w:r>
      <m:oMath>
        <m:r>
          <m:t>D</m:t>
        </m:r>
      </m:oMath>
      <w:r>
        <w:rPr>
          <w:b/>
          <w:bCs/>
        </w:rPr>
        <w:t xml:space="preserve"> </w:t>
      </w:r>
      <w:r>
        <w:rPr>
          <w:b/>
          <w:bCs/>
        </w:rPr>
        <w:t xml:space="preserve">and</w:t>
      </w:r>
      <w:r>
        <w:rPr>
          <w:b/>
          <w:bCs/>
        </w:rPr>
        <w:t xml:space="preserve"> </w:t>
      </w:r>
      <m:oMath>
        <m:r>
          <m:t>d</m:t>
        </m:r>
      </m:oMath>
      <w:r>
        <w:rPr>
          <w:b/>
          <w:bCs/>
        </w:rPr>
        <w:t xml:space="preserve">.</w:t>
      </w:r>
      <w:r>
        <w:t xml:space="preserve"> </w:t>
      </w:r>
      <w:r>
        <w:t xml:space="preserve">The original ACF remained high at annual multiples (lag 12 = 0.521, lag 24 = 0.456, and lag 36 = 0.486), supporting one seasonal difference. The seasonal-strength check also returned</w:t>
      </w:r>
      <w:r>
        <w:t xml:space="preserve"> </w:t>
      </w:r>
      <w:r>
        <w:rPr>
          <w:rStyle w:val="VerbatimChar"/>
        </w:rPr>
        <w:t xml:space="preserve">nsdiffs = 1</w:t>
      </w:r>
      <w:r>
        <w:t xml:space="preserve">, so</w:t>
      </w:r>
      <w:r>
        <w:t xml:space="preserve"> </w:t>
      </w:r>
      <m:oMath>
        <m:r>
          <m:t>D</m:t>
        </m:r>
        <m:r>
          <m:rPr>
            <m:sty m:val="p"/>
          </m:rPr>
          <m:t>=</m:t>
        </m:r>
        <m:r>
          <m:t>1</m:t>
        </m:r>
      </m:oMath>
      <w:r>
        <w:t xml:space="preserve">. After applying</w:t>
      </w:r>
      <w:r>
        <w:t xml:space="preserve"> </w:t>
      </w:r>
      <m:oMath>
        <m:sSub>
          <m:e>
            <m:r>
              <m:t>y</m:t>
            </m:r>
          </m:e>
          <m:sub>
            <m:r>
              <m:t>t</m:t>
            </m:r>
          </m:sub>
        </m:sSub>
        <m:r>
          <m:rPr>
            <m:sty m:val="p"/>
          </m:rPr>
          <m:t>−</m:t>
        </m:r>
        <m:sSub>
          <m:e>
            <m:r>
              <m:t>y</m:t>
            </m:r>
          </m:e>
          <m:sub>
            <m:r>
              <m:t>t</m:t>
            </m:r>
            <m:r>
              <m:rPr>
                <m:sty m:val="p"/>
              </m:rPr>
              <m:t>−</m:t>
            </m:r>
            <m:r>
              <m:t>12</m:t>
            </m:r>
          </m:sub>
        </m:sSub>
      </m:oMath>
      <w:r>
        <w:t xml:space="preserve">, the series fluctuated around a stable level; the KPSS supporting check returned</w:t>
      </w:r>
      <w:r>
        <w:t xml:space="preserve"> </w:t>
      </w:r>
      <w:r>
        <w:rPr>
          <w:rStyle w:val="VerbatimChar"/>
        </w:rPr>
        <w:t xml:space="preserve">ndiffs = 0</w:t>
      </w:r>
      <w:r>
        <w:t xml:space="preserve">. Thus</w:t>
      </w:r>
      <w:r>
        <w:t xml:space="preserve"> </w:t>
      </w:r>
      <m:oMath>
        <m:r>
          <m:t>d</m:t>
        </m:r>
        <m:r>
          <m:rPr>
            <m:sty m:val="p"/>
          </m:rPr>
          <m:t>=</m:t>
        </m:r>
        <m:r>
          <m:t>0</m:t>
        </m:r>
      </m:oMath>
      <w:r>
        <w:t xml:space="preserve">, avoiding an unnecessary ordinary difference.</w:t>
      </w:r>
    </w:p>
    <w:p>
      <w:pPr>
        <w:pStyle w:val="BodyText"/>
      </w:pPr>
      <w:r>
        <w:rPr>
          <w:b/>
          <w:bCs/>
        </w:rPr>
        <w:t xml:space="preserve">Step 3 - propose</w:t>
      </w:r>
      <w:r>
        <w:rPr>
          <w:b/>
          <w:bCs/>
        </w:rPr>
        <w:t xml:space="preserve"> </w:t>
      </w:r>
      <m:oMath>
        <m:r>
          <m:t>p</m:t>
        </m:r>
      </m:oMath>
      <w:r>
        <w:rPr>
          <w:b/>
          <w:bCs/>
        </w:rPr>
        <w:t xml:space="preserve">,</w:t>
      </w:r>
      <w:r>
        <w:rPr>
          <w:b/>
          <w:bCs/>
        </w:rPr>
        <w:t xml:space="preserve"> </w:t>
      </w:r>
      <m:oMath>
        <m:r>
          <m:t>q</m:t>
        </m:r>
      </m:oMath>
      <w:r>
        <w:rPr>
          <w:b/>
          <w:bCs/>
        </w:rPr>
        <w:t xml:space="preserve">,</w:t>
      </w:r>
      <w:r>
        <w:rPr>
          <w:b/>
          <w:bCs/>
        </w:rPr>
        <w:t xml:space="preserve"> </w:t>
      </w:r>
      <m:oMath>
        <m:r>
          <m:t>P</m:t>
        </m:r>
      </m:oMath>
      <w:r>
        <w:rPr>
          <w:b/>
          <w:bCs/>
        </w:rPr>
        <w:t xml:space="preserve">, and</w:t>
      </w:r>
      <w:r>
        <w:rPr>
          <w:b/>
          <w:bCs/>
        </w:rPr>
        <w:t xml:space="preserve"> </w:t>
      </w:r>
      <m:oMath>
        <m:r>
          <m:t>Q</m:t>
        </m:r>
      </m:oMath>
      <w:r>
        <w:rPr>
          <w:b/>
          <w:bCs/>
        </w:rPr>
        <w:t xml:space="preserve">.</w:t>
      </w:r>
      <w:r>
        <w:t xml:space="preserve"> </w:t>
      </w:r>
      <w:r>
        <w:t xml:space="preserve">For the seasonally differenced series, the approximate 95% bound was</w:t>
      </w:r>
      <w:r>
        <w:t xml:space="preserve"> </w:t>
      </w:r>
      <m:oMath>
        <m:r>
          <m:rPr>
            <m:sty m:val="p"/>
          </m:rPr>
          <m:t>±</m:t>
        </m:r>
        <m:r>
          <m:t>0.130</m:t>
        </m:r>
      </m:oMath>
      <w:r>
        <w:t xml:space="preserve">. At ordinary lag 1, ACF and PACF were both 0.211, so AR(1), MA(1), and nearby order-2 alternatives were retained. At seasonal lag 12, ACF was -0.445 and then fell to -0.116 at lag 24, favouring</w:t>
      </w:r>
      <w:r>
        <w:t xml:space="preserve"> </w:t>
      </w:r>
      <m:oMath>
        <m:r>
          <m:t>Q</m:t>
        </m:r>
        <m:r>
          <m:rPr>
            <m:sty m:val="p"/>
          </m:rPr>
          <m:t>=</m:t>
        </m:r>
        <m:r>
          <m:t>1</m:t>
        </m:r>
      </m:oMath>
      <w:r>
        <w:t xml:space="preserve">. PACF spikes at lags 12 and 24 justified sensitivity candidates with</w:t>
      </w:r>
      <w:r>
        <w:t xml:space="preserve"> </w:t>
      </w:r>
      <m:oMath>
        <m:r>
          <m:t>P</m:t>
        </m:r>
        <m:r>
          <m:rPr>
            <m:sty m:val="p"/>
          </m:rPr>
          <m:t>=</m:t>
        </m:r>
        <m:r>
          <m:t>1</m:t>
        </m:r>
      </m:oMath>
      <w:r>
        <w:t xml:space="preserve"> </w:t>
      </w:r>
      <w:r>
        <w:t xml:space="preserve">and</w:t>
      </w:r>
      <w:r>
        <w:t xml:space="preserve"> </w:t>
      </w:r>
      <m:oMath>
        <m:r>
          <m:t>P</m:t>
        </m:r>
        <m:r>
          <m:rPr>
            <m:sty m:val="p"/>
          </m:rPr>
          <m:t>=</m:t>
        </m:r>
        <m:r>
          <m:t>2</m:t>
        </m:r>
      </m:oMath>
      <w:r>
        <w:t xml:space="preserve">. This inspection produced eight explicit candidates rather than an automated search.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Candidate</w:t>
            </w:r>
          </w:p>
        </w:tc>
        <w:tc>
          <w:tcPr/>
          <w:p>
            <w:pPr>
              <w:pStyle w:val="Compact"/>
              <w:jc w:val="right"/>
            </w:pPr>
            <w:r>
              <w:t xml:space="preserve">AICc</w:t>
            </w:r>
          </w:p>
        </w:tc>
        <w:tc>
          <w:tcPr/>
          <w:p>
            <w:pPr>
              <w:pStyle w:val="Compact"/>
              <w:jc w:val="right"/>
            </w:pPr>
            <m:oMath>
              <m:r>
                <m:t>Q</m:t>
              </m:r>
              <m:r>
                <m:rPr>
                  <m:sty m:val="p"/>
                </m:rPr>
                <m:t>(</m:t>
              </m:r>
              <m:r>
                <m:t>24</m:t>
              </m:r>
              <m:r>
                <m:rPr>
                  <m:sty m:val="p"/>
                </m:rPr>
                <m:t>)</m:t>
              </m:r>
            </m:oMath>
            <w:r>
              <w:t xml:space="preserve"> </w:t>
            </w:r>
            <m:oMath>
              <m:r>
                <m:t>p</m:t>
              </m:r>
            </m:oMath>
          </w:p>
        </w:tc>
        <w:tc>
          <w:tcPr/>
          <w:p>
            <w:pPr>
              <w:pStyle w:val="Compact"/>
            </w:pPr>
            <w:r>
              <w:t xml:space="preserve">Decision</w:t>
            </w:r>
          </w:p>
        </w:tc>
      </w:tr>
      <w:tr>
        <w:tc>
          <w:tcPr/>
          <w:p>
            <w:pPr>
              <w:pStyle w:val="Compact"/>
            </w:pPr>
            <w:r>
              <w:t xml:space="preserve">(1,0,0)(0,1,1)</w:t>
            </w:r>
            <w:r>
              <w:rPr>
                <w:vertAlign w:val="subscript"/>
              </w:rPr>
              <w:t xml:space="preserve">12</w:t>
            </w:r>
          </w:p>
        </w:tc>
        <w:tc>
          <w:tcPr/>
          <w:p>
            <w:pPr>
              <w:pStyle w:val="Compact"/>
              <w:jc w:val="right"/>
            </w:pPr>
            <w:r>
              <w:t xml:space="preserve">102.270</w:t>
            </w:r>
          </w:p>
        </w:tc>
        <w:tc>
          <w:tcPr/>
          <w:p>
            <w:pPr>
              <w:pStyle w:val="Compact"/>
              <w:jc w:val="right"/>
            </w:pPr>
            <w:r>
              <w:t xml:space="preserve">0.105</w:t>
            </w:r>
          </w:p>
        </w:tc>
        <w:tc>
          <w:tcPr/>
          <w:p>
            <w:pPr>
              <w:pStyle w:val="Compact"/>
            </w:pPr>
            <w:r>
              <w:t xml:space="preserve">Selected</w:t>
            </w:r>
          </w:p>
        </w:tc>
      </w:tr>
      <w:tr>
        <w:tc>
          <w:tcPr/>
          <w:p>
            <w:pPr>
              <w:pStyle w:val="Compact"/>
            </w:pPr>
            <w:r>
              <w:t xml:space="preserve">(0,0,1)(0,1,1)</w:t>
            </w:r>
            <w:r>
              <w:rPr>
                <w:vertAlign w:val="subscript"/>
              </w:rPr>
              <w:t xml:space="preserve">12</w:t>
            </w:r>
          </w:p>
        </w:tc>
        <w:tc>
          <w:tcPr/>
          <w:p>
            <w:pPr>
              <w:pStyle w:val="Compact"/>
              <w:jc w:val="right"/>
            </w:pPr>
            <w:r>
              <w:t xml:space="preserve">103.192</w:t>
            </w:r>
          </w:p>
        </w:tc>
        <w:tc>
          <w:tcPr/>
          <w:p>
            <w:pPr>
              <w:pStyle w:val="Compact"/>
              <w:jc w:val="right"/>
            </w:pPr>
            <w:r>
              <w:t xml:space="preserve">0.153</w:t>
            </w:r>
          </w:p>
        </w:tc>
        <w:tc>
          <w:tcPr/>
          <w:p>
            <w:pPr>
              <w:pStyle w:val="Compact"/>
            </w:pPr>
            <w:r>
              <w:t xml:space="preserve">Eligible</w:t>
            </w:r>
          </w:p>
        </w:tc>
      </w:tr>
      <w:tr>
        <w:tc>
          <w:tcPr/>
          <w:p>
            <w:pPr>
              <w:pStyle w:val="Compact"/>
            </w:pPr>
            <w:r>
              <w:t xml:space="preserve">(1,0,0)(2,1,1)</w:t>
            </w:r>
            <w:r>
              <w:rPr>
                <w:vertAlign w:val="subscript"/>
              </w:rPr>
              <w:t xml:space="preserve">12</w:t>
            </w:r>
          </w:p>
        </w:tc>
        <w:tc>
          <w:tcPr/>
          <w:p>
            <w:pPr>
              <w:pStyle w:val="Compact"/>
              <w:jc w:val="right"/>
            </w:pPr>
            <w:r>
              <w:t xml:space="preserve">103.839</w:t>
            </w:r>
          </w:p>
        </w:tc>
        <w:tc>
          <w:tcPr/>
          <w:p>
            <w:pPr>
              <w:pStyle w:val="Compact"/>
              <w:jc w:val="right"/>
            </w:pPr>
            <w:r>
              <w:t xml:space="preserve">0.346</w:t>
            </w:r>
          </w:p>
        </w:tc>
        <w:tc>
          <w:tcPr/>
          <w:p>
            <w:pPr>
              <w:pStyle w:val="Compact"/>
            </w:pPr>
            <w:r>
              <w:t xml:space="preserve">Eligible</w:t>
            </w:r>
          </w:p>
        </w:tc>
      </w:tr>
      <w:tr>
        <w:tc>
          <w:tcPr/>
          <w:p>
            <w:pPr>
              <w:pStyle w:val="Compact"/>
            </w:pPr>
            <w:r>
              <w:t xml:space="preserve">(0,0,2)(0,1,1)</w:t>
            </w:r>
            <w:r>
              <w:rPr>
                <w:vertAlign w:val="subscript"/>
              </w:rPr>
              <w:t xml:space="preserve">12</w:t>
            </w:r>
          </w:p>
        </w:tc>
        <w:tc>
          <w:tcPr/>
          <w:p>
            <w:pPr>
              <w:pStyle w:val="Compact"/>
              <w:jc w:val="right"/>
            </w:pPr>
            <w:r>
              <w:t xml:space="preserve">103.922</w:t>
            </w:r>
          </w:p>
        </w:tc>
        <w:tc>
          <w:tcPr/>
          <w:p>
            <w:pPr>
              <w:pStyle w:val="Compact"/>
              <w:jc w:val="right"/>
            </w:pPr>
            <w:r>
              <w:t xml:space="preserve">0.046</w:t>
            </w:r>
          </w:p>
        </w:tc>
        <w:tc>
          <w:tcPr/>
          <w:p>
            <w:pPr>
              <w:pStyle w:val="Compact"/>
            </w:pPr>
            <w:r>
              <w:t xml:space="preserve">Rejected</w:t>
            </w:r>
          </w:p>
        </w:tc>
      </w:tr>
      <w:tr>
        <w:tc>
          <w:tcPr/>
          <w:p>
            <w:pPr>
              <w:pStyle w:val="Compact"/>
            </w:pPr>
            <w:r>
              <w:t xml:space="preserve">(1,0,0)(1,1,1)</w:t>
            </w:r>
            <w:r>
              <w:rPr>
                <w:vertAlign w:val="subscript"/>
              </w:rPr>
              <w:t xml:space="preserve">12</w:t>
            </w:r>
          </w:p>
        </w:tc>
        <w:tc>
          <w:tcPr/>
          <w:p>
            <w:pPr>
              <w:pStyle w:val="Compact"/>
              <w:jc w:val="right"/>
            </w:pPr>
            <w:r>
              <w:t xml:space="preserve">104.074</w:t>
            </w:r>
          </w:p>
        </w:tc>
        <w:tc>
          <w:tcPr/>
          <w:p>
            <w:pPr>
              <w:pStyle w:val="Compact"/>
              <w:jc w:val="right"/>
            </w:pPr>
            <w:r>
              <w:t xml:space="preserve">0.084</w:t>
            </w:r>
          </w:p>
        </w:tc>
        <w:tc>
          <w:tcPr/>
          <w:p>
            <w:pPr>
              <w:pStyle w:val="Compact"/>
            </w:pPr>
            <w:r>
              <w:t xml:space="preserve">Eligible</w:t>
            </w:r>
          </w:p>
        </w:tc>
      </w:tr>
      <w:tr>
        <w:tc>
          <w:tcPr/>
          <w:p>
            <w:pPr>
              <w:pStyle w:val="Compact"/>
            </w:pPr>
            <w:r>
              <w:t xml:space="preserve">(2,0,0)(0,1,1)</w:t>
            </w:r>
            <w:r>
              <w:rPr>
                <w:vertAlign w:val="subscript"/>
              </w:rPr>
              <w:t xml:space="preserve">12</w:t>
            </w:r>
          </w:p>
        </w:tc>
        <w:tc>
          <w:tcPr/>
          <w:p>
            <w:pPr>
              <w:pStyle w:val="Compact"/>
              <w:jc w:val="right"/>
            </w:pPr>
            <w:r>
              <w:t xml:space="preserve">104.212</w:t>
            </w:r>
          </w:p>
        </w:tc>
        <w:tc>
          <w:tcPr/>
          <w:p>
            <w:pPr>
              <w:pStyle w:val="Compact"/>
              <w:jc w:val="right"/>
            </w:pPr>
            <w:r>
              <w:t xml:space="preserve">0.074</w:t>
            </w:r>
          </w:p>
        </w:tc>
        <w:tc>
          <w:tcPr/>
          <w:p>
            <w:pPr>
              <w:pStyle w:val="Compact"/>
            </w:pPr>
            <w:r>
              <w:t xml:space="preserve">Eligible</w:t>
            </w:r>
          </w:p>
        </w:tc>
      </w:tr>
      <w:tr>
        <w:tc>
          <w:tcPr/>
          <w:p>
            <w:pPr>
              <w:pStyle w:val="Compact"/>
            </w:pPr>
            <w:r>
              <w:t xml:space="preserve">(1,0,1)(0,1,1)</w:t>
            </w:r>
            <w:r>
              <w:rPr>
                <w:vertAlign w:val="subscript"/>
              </w:rPr>
              <w:t xml:space="preserve">12</w:t>
            </w:r>
          </w:p>
        </w:tc>
        <w:tc>
          <w:tcPr/>
          <w:p>
            <w:pPr>
              <w:pStyle w:val="Compact"/>
              <w:jc w:val="right"/>
            </w:pPr>
            <w:r>
              <w:t xml:space="preserve">104.247</w:t>
            </w:r>
          </w:p>
        </w:tc>
        <w:tc>
          <w:tcPr/>
          <w:p>
            <w:pPr>
              <w:pStyle w:val="Compact"/>
              <w:jc w:val="right"/>
            </w:pPr>
            <w:r>
              <w:t xml:space="preserve">0.077</w:t>
            </w:r>
          </w:p>
        </w:tc>
        <w:tc>
          <w:tcPr/>
          <w:p>
            <w:pPr>
              <w:pStyle w:val="Compact"/>
            </w:pPr>
            <w:r>
              <w:t xml:space="preserve">Eligible</w:t>
            </w:r>
          </w:p>
        </w:tc>
      </w:tr>
      <w:tr>
        <w:tc>
          <w:tcPr/>
          <w:p>
            <w:pPr>
              <w:pStyle w:val="Compact"/>
            </w:pPr>
            <w:r>
              <w:t xml:space="preserve">(0,0,2)(2,1,1)</w:t>
            </w:r>
            <w:r>
              <w:rPr>
                <w:vertAlign w:val="subscript"/>
              </w:rPr>
              <w:t xml:space="preserve">12</w:t>
            </w:r>
          </w:p>
        </w:tc>
        <w:tc>
          <w:tcPr/>
          <w:p>
            <w:pPr>
              <w:pStyle w:val="Compact"/>
              <w:jc w:val="right"/>
            </w:pPr>
            <w:r>
              <w:t xml:space="preserve">105.397</w:t>
            </w:r>
          </w:p>
        </w:tc>
        <w:tc>
          <w:tcPr/>
          <w:p>
            <w:pPr>
              <w:pStyle w:val="Compact"/>
              <w:jc w:val="right"/>
            </w:pPr>
            <w:r>
              <w:t xml:space="preserve">0.213</w:t>
            </w:r>
          </w:p>
        </w:tc>
        <w:tc>
          <w:tcPr/>
          <w:p>
            <w:pPr>
              <w:pStyle w:val="Compact"/>
            </w:pPr>
            <w:r>
              <w:t xml:space="preserve">Eligible</w:t>
            </w:r>
          </w:p>
        </w:tc>
      </w:tr>
    </w:tbl>
    <w:p>
      <w:pPr>
        <w:pStyle w:val="BodyText"/>
      </w:pPr>
      <w:r>
        <w:rPr>
          <w:b/>
          <w:bCs/>
        </w:rPr>
        <w:t xml:space="preserve">Step 4 - select and diagnose the model.</w:t>
      </w:r>
      <w:r>
        <w:t xml:space="preserve"> </w:t>
      </w:r>
      <w:r>
        <w:t xml:space="preserve">All candidates used the same untransformed training sample,</w:t>
      </w:r>
      <w:r>
        <w:t xml:space="preserve"> </w:t>
      </w:r>
      <m:oMath>
        <m:r>
          <m:t>d</m:t>
        </m:r>
        <m:r>
          <m:rPr>
            <m:sty m:val="p"/>
          </m:rPr>
          <m:t>=</m:t>
        </m:r>
        <m:r>
          <m:t>0</m:t>
        </m:r>
      </m:oMath>
      <w:r>
        <w:t xml:space="preserve">,</w:t>
      </w:r>
      <w:r>
        <w:t xml:space="preserve"> </w:t>
      </w:r>
      <m:oMath>
        <m:r>
          <m:t>D</m:t>
        </m:r>
        <m:r>
          <m:rPr>
            <m:sty m:val="p"/>
          </m:rPr>
          <m:t>=</m:t>
        </m:r>
        <m:r>
          <m:t>1</m:t>
        </m:r>
      </m:oMath>
      <w:r>
        <w:t xml:space="preserve">,</w:t>
      </w:r>
      <w:r>
        <w:t xml:space="preserve"> </w:t>
      </w:r>
      <m:oMath>
        <m:r>
          <m:t>m</m:t>
        </m:r>
        <m:r>
          <m:rPr>
            <m:sty m:val="p"/>
          </m:rPr>
          <m:t>=</m:t>
        </m:r>
        <m:r>
          <m:t>12</m:t>
        </m:r>
      </m:oMath>
      <w:r>
        <w:t xml:space="preserve">, no mean or drift, and CSS–ML estimation. ARIMA</w:t>
      </w:r>
      <m:oMath>
        <m:r>
          <m:rPr>
            <m:sty m:val="p"/>
          </m:rPr>
          <m:t>(</m:t>
        </m:r>
        <m:r>
          <m:t>1</m:t>
        </m:r>
        <m:r>
          <m:rPr>
            <m:sty m:val="p"/>
          </m:rPr>
          <m:t>,</m:t>
        </m:r>
        <m:r>
          <m:t>0</m:t>
        </m:r>
        <m:r>
          <m:rPr>
            <m:sty m:val="p"/>
          </m:rPr>
          <m:t>,</m:t>
        </m:r>
        <m:r>
          <m:t>0</m:t>
        </m:r>
        <m:r>
          <m:rPr>
            <m:sty m:val="p"/>
          </m:rPr>
          <m:t>)</m:t>
        </m:r>
        <m:r>
          <m:rPr>
            <m:sty m:val="p"/>
          </m:rPr>
          <m:t>(</m:t>
        </m:r>
        <m:r>
          <m:t>0</m:t>
        </m:r>
        <m:r>
          <m:rPr>
            <m:sty m:val="p"/>
          </m:rPr>
          <m:t>,</m:t>
        </m:r>
        <m:r>
          <m:t>1</m:t>
        </m:r>
        <m:r>
          <m:rPr>
            <m:sty m:val="p"/>
          </m:rPr>
          <m:t>,</m:t>
        </m:r>
        <m:r>
          <m:t>1</m:t>
        </m:r>
        <m:sSub>
          <m:e>
            <m:r>
              <m:rPr>
                <m:sty m:val="p"/>
              </m:rPr>
              <m:t>)</m:t>
            </m:r>
          </m:e>
          <m:sub>
            <m:r>
              <m:t>12</m:t>
            </m:r>
          </m:sub>
        </m:sSub>
      </m:oMath>
      <w:r>
        <w:t xml:space="preserve"> </w:t>
      </w:r>
      <w:r>
        <w:t xml:space="preserve">had the lowest training AICc and passed the declared residual and non-negativity gates. Its fitted coefficients were AR1=0.2087 (SE=0.0653,</w:t>
      </w:r>
      <w:r>
        <w:t xml:space="preserve"> </w:t>
      </w:r>
      <m:oMath>
        <m:r>
          <m:t>p</m:t>
        </m:r>
        <m:r>
          <m:rPr>
            <m:sty m:val="p"/>
          </m:rPr>
          <m:t>=</m:t>
        </m:r>
        <m:r>
          <m:t>0.0014</m:t>
        </m:r>
      </m:oMath>
      <w:r>
        <w:t xml:space="preserve">) and SMA1=-0.9554 (SE=0.1190,</w:t>
      </w:r>
      <w:r>
        <w:t xml:space="preserve"> </w:t>
      </w:r>
      <m:oMath>
        <m:r>
          <m:t>p</m:t>
        </m:r>
        <m:r>
          <m:rPr>
            <m:sty m:val="p"/>
          </m:rPr>
          <m:t>&lt;</m:t>
        </m:r>
        <m:r>
          <m:t>0.001</m:t>
        </m:r>
      </m:oMath>
      <w:r>
        <w:t xml:space="preserve">). The lag-24 Ljung–Box result was</w:t>
      </w:r>
      <w:r>
        <w:t xml:space="preserve"> </w:t>
      </w:r>
      <m:oMath>
        <m:r>
          <m:t>Q</m:t>
        </m:r>
        <m:r>
          <m:rPr>
            <m:sty m:val="p"/>
          </m:rPr>
          <m:t>=</m:t>
        </m:r>
        <m:r>
          <m:t>30.601</m:t>
        </m:r>
      </m:oMath>
      <w:r>
        <w:t xml:space="preserve"> </w:t>
      </w:r>
      <w:r>
        <w:t xml:space="preserve">with 22 degrees of freedom and</w:t>
      </w:r>
      <w:r>
        <w:t xml:space="preserve"> </w:t>
      </w:r>
      <m:oMath>
        <m:r>
          <m:t>p</m:t>
        </m:r>
        <m:r>
          <m:rPr>
            <m:sty m:val="p"/>
          </m:rPr>
          <m:t>=</m:t>
        </m:r>
        <m:r>
          <m:t>0.1046</m:t>
        </m:r>
      </m:oMath>
      <w:r>
        <w:t xml:space="preserve">, so residual white noise was not rejected. No extra terms were added after this gate passed.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Training</w:t>
            </w:r>
          </w:p>
        </w:tc>
        <w:tc>
          <w:tcPr/>
          <w:p>
            <w:pPr>
              <w:pStyle w:val="Compact"/>
              <w:jc w:val="right"/>
            </w:pPr>
            <w:r>
              <w:t xml:space="preserve">Test</w:t>
            </w:r>
          </w:p>
        </w:tc>
        <w:tc>
          <w:tcPr/>
          <w:p>
            <w:pPr>
              <w:pStyle w:val="Compact"/>
              <w:jc w:val="right"/>
            </w:pPr>
            <w:r>
              <w:t xml:space="preserve">Test − training</w:t>
            </w:r>
          </w:p>
        </w:tc>
      </w:tr>
      <w:tr>
        <w:tc>
          <w:tcPr/>
          <w:p>
            <w:pPr>
              <w:pStyle w:val="Compact"/>
            </w:pPr>
            <w:r>
              <w:t xml:space="preserve">ME (kWh/m²/day)</w:t>
            </w:r>
          </w:p>
        </w:tc>
        <w:tc>
          <w:tcPr/>
          <w:p>
            <w:pPr>
              <w:pStyle w:val="Compact"/>
              <w:jc w:val="right"/>
            </w:pPr>
            <w:r>
              <w:t xml:space="preserve">0.0083</w:t>
            </w:r>
          </w:p>
        </w:tc>
        <w:tc>
          <w:tcPr/>
          <w:p>
            <w:pPr>
              <w:pStyle w:val="Compact"/>
              <w:jc w:val="right"/>
            </w:pPr>
            <w:r>
              <w:t xml:space="preserve">−0.0451</w:t>
            </w:r>
          </w:p>
        </w:tc>
        <w:tc>
          <w:tcPr/>
          <w:p>
            <w:pPr>
              <w:pStyle w:val="Compact"/>
              <w:jc w:val="right"/>
            </w:pPr>
            <w:r>
              <w:t xml:space="preserve">−0.0534</w:t>
            </w:r>
          </w:p>
        </w:tc>
      </w:tr>
      <w:tr>
        <w:tc>
          <w:tcPr/>
          <w:p>
            <w:pPr>
              <w:pStyle w:val="Compact"/>
            </w:pPr>
            <w:r>
              <w:t xml:space="preserve">MSE ((kWh/m²/day)²)</w:t>
            </w:r>
          </w:p>
        </w:tc>
        <w:tc>
          <w:tcPr/>
          <w:p>
            <w:pPr>
              <w:pStyle w:val="Compact"/>
              <w:jc w:val="right"/>
            </w:pPr>
            <w:r>
              <w:t xml:space="preserve">0.0753</w:t>
            </w:r>
          </w:p>
        </w:tc>
        <w:tc>
          <w:tcPr/>
          <w:p>
            <w:pPr>
              <w:pStyle w:val="Compact"/>
              <w:jc w:val="right"/>
            </w:pPr>
            <w:r>
              <w:t xml:space="preserve">0.0812</w:t>
            </w:r>
          </w:p>
        </w:tc>
        <w:tc>
          <w:tcPr/>
          <w:p>
            <w:pPr>
              <w:pStyle w:val="Compact"/>
              <w:jc w:val="right"/>
            </w:pPr>
            <w:r>
              <w:t xml:space="preserve">0.0060</w:t>
            </w:r>
          </w:p>
        </w:tc>
      </w:tr>
      <w:tr>
        <w:tc>
          <w:tcPr/>
          <w:p>
            <w:pPr>
              <w:pStyle w:val="Compact"/>
            </w:pPr>
            <w:r>
              <w:t xml:space="preserve">RMSE (kWh/m²/day)</w:t>
            </w:r>
          </w:p>
        </w:tc>
        <w:tc>
          <w:tcPr/>
          <w:p>
            <w:pPr>
              <w:pStyle w:val="Compact"/>
              <w:jc w:val="right"/>
            </w:pPr>
            <w:r>
              <w:t xml:space="preserve">0.2743</w:t>
            </w:r>
          </w:p>
        </w:tc>
        <w:tc>
          <w:tcPr/>
          <w:p>
            <w:pPr>
              <w:pStyle w:val="Compact"/>
              <w:jc w:val="right"/>
            </w:pPr>
            <w:r>
              <w:t xml:space="preserve">0.2850</w:t>
            </w:r>
          </w:p>
        </w:tc>
        <w:tc>
          <w:tcPr/>
          <w:p>
            <w:pPr>
              <w:pStyle w:val="Compact"/>
              <w:jc w:val="right"/>
            </w:pPr>
            <w:r>
              <w:t xml:space="preserve">0.0107</w:t>
            </w:r>
          </w:p>
        </w:tc>
      </w:tr>
      <w:tr>
        <w:tc>
          <w:tcPr/>
          <w:p>
            <w:pPr>
              <w:pStyle w:val="Compact"/>
            </w:pPr>
            <w:r>
              <w:t xml:space="preserve">MAE (kWh/m²/day)</w:t>
            </w:r>
          </w:p>
        </w:tc>
        <w:tc>
          <w:tcPr/>
          <w:p>
            <w:pPr>
              <w:pStyle w:val="Compact"/>
              <w:jc w:val="right"/>
            </w:pPr>
            <w:r>
              <w:t xml:space="preserve">0.2046</w:t>
            </w:r>
          </w:p>
        </w:tc>
        <w:tc>
          <w:tcPr/>
          <w:p>
            <w:pPr>
              <w:pStyle w:val="Compact"/>
              <w:jc w:val="right"/>
            </w:pPr>
            <w:r>
              <w:t xml:space="preserve">0.2198</w:t>
            </w:r>
          </w:p>
        </w:tc>
        <w:tc>
          <w:tcPr/>
          <w:p>
            <w:pPr>
              <w:pStyle w:val="Compact"/>
              <w:jc w:val="right"/>
            </w:pPr>
            <w:r>
              <w:t xml:space="preserve">0.0152</w:t>
            </w:r>
          </w:p>
        </w:tc>
      </w:tr>
      <w:tr>
        <w:tc>
          <w:tcPr/>
          <w:p>
            <w:pPr>
              <w:pStyle w:val="Compact"/>
            </w:pPr>
            <w:r>
              <w:t xml:space="preserve">MPE</w:t>
            </w:r>
          </w:p>
        </w:tc>
        <w:tc>
          <w:tcPr/>
          <w:p>
            <w:pPr>
              <w:pStyle w:val="Compact"/>
              <w:jc w:val="right"/>
            </w:pPr>
            <w:r>
              <w:t xml:space="preserve">−0.1483%</w:t>
            </w:r>
          </w:p>
        </w:tc>
        <w:tc>
          <w:tcPr/>
          <w:p>
            <w:pPr>
              <w:pStyle w:val="Compact"/>
              <w:jc w:val="right"/>
            </w:pPr>
            <w:r>
              <w:t xml:space="preserve">−1.2191%</w:t>
            </w:r>
          </w:p>
        </w:tc>
        <w:tc>
          <w:tcPr/>
          <w:p>
            <w:pPr>
              <w:pStyle w:val="Compact"/>
              <w:jc w:val="right"/>
            </w:pPr>
            <w:r>
              <w:t xml:space="preserve">−1.0708 pp</w:t>
            </w:r>
          </w:p>
        </w:tc>
      </w:tr>
      <w:tr>
        <w:tc>
          <w:tcPr/>
          <w:p>
            <w:pPr>
              <w:pStyle w:val="Compact"/>
            </w:pPr>
            <w:r>
              <w:t xml:space="preserve">MAPE</w:t>
            </w:r>
          </w:p>
        </w:tc>
        <w:tc>
          <w:tcPr/>
          <w:p>
            <w:pPr>
              <w:pStyle w:val="Compact"/>
              <w:jc w:val="right"/>
            </w:pPr>
            <w:r>
              <w:t xml:space="preserve">4.3377%</w:t>
            </w:r>
          </w:p>
        </w:tc>
        <w:tc>
          <w:tcPr/>
          <w:p>
            <w:pPr>
              <w:pStyle w:val="Compact"/>
              <w:jc w:val="right"/>
            </w:pPr>
            <w:r>
              <w:t xml:space="preserve">4.6224%</w:t>
            </w:r>
          </w:p>
        </w:tc>
        <w:tc>
          <w:tcPr/>
          <w:p>
            <w:pPr>
              <w:pStyle w:val="Compact"/>
              <w:jc w:val="right"/>
            </w:pPr>
            <w:r>
              <w:t xml:space="preserve">0.2847 pp</w:t>
            </w:r>
          </w:p>
        </w:tc>
      </w:tr>
    </w:tbl>
    <w:p>
      <w:pPr>
        <w:pStyle w:val="BodyText"/>
      </w:pPr>
      <w:r>
        <w:t xml:space="preserve">The negative test ME and MPE indicate average overforecasting under the</w:t>
      </w:r>
      <w:r>
        <w:t xml:space="preserve"> </w:t>
      </w:r>
      <w:r>
        <w:rPr>
          <w:rStyle w:val="VerbatimChar"/>
        </w:rPr>
        <w:t xml:space="preserve">actual − forecast</w:t>
      </w:r>
      <w:r>
        <w:t xml:space="preserve"> </w:t>
      </w:r>
      <w:r>
        <w:t xml:space="preserve">convention. Training–test differences are descriptive because fitted residuals and multi-step holdout errors come from different evaluation settings.</w:t>
      </w:r>
    </w:p>
    <w:p>
      <w:pPr>
        <w:pStyle w:val="CaptionedFigure"/>
      </w:pPr>
      <w:r>
        <w:drawing>
          <wp:inline>
            <wp:extent cx="2926080" cy="1645920"/>
            <wp:effectExtent b="0" l="0" r="0" t="0"/>
            <wp:docPr descr="Manual SARIMA test forecasts with 95% intervals." title="" id="27" name="Picture"/>
            <a:graphic>
              <a:graphicData uri="http://schemas.openxmlformats.org/drawingml/2006/picture">
                <pic:pic>
                  <pic:nvPicPr>
                    <pic:cNvPr descr="../analysis_outputs/nasa/manual_sarima/figures/nasa_sarima_test_forecast.png" id="28" name="Picture"/>
                    <pic:cNvPicPr>
                      <a:picLocks noChangeArrowheads="1" noChangeAspect="1"/>
                    </pic:cNvPicPr>
                  </pic:nvPicPr>
                  <pic:blipFill>
                    <a:blip r:embed="rId26"/>
                    <a:stretch>
                      <a:fillRect/>
                    </a:stretch>
                  </pic:blipFill>
                  <pic:spPr bwMode="auto">
                    <a:xfrm>
                      <a:off x="0" y="0"/>
                      <a:ext cx="2926080" cy="1645920"/>
                    </a:xfrm>
                    <a:prstGeom prst="rect">
                      <a:avLst/>
                    </a:prstGeom>
                    <a:noFill/>
                    <a:ln w="9525">
                      <a:noFill/>
                      <a:headEnd/>
                      <a:tailEnd/>
                    </a:ln>
                  </pic:spPr>
                </pic:pic>
              </a:graphicData>
            </a:graphic>
          </wp:inline>
        </w:drawing>
      </w:r>
    </w:p>
    <w:p>
      <w:pPr>
        <w:pStyle w:val="ImageCaption"/>
      </w:pPr>
      <w:r>
        <w:t xml:space="preserve">Manual SARIMA test forecasts with 95% intervals.</w:t>
      </w:r>
    </w:p>
    <w:p>
      <w:pPr>
        <w:pStyle w:val="BodyText"/>
      </w:pPr>
      <w:r>
        <w:rPr>
          <w:b/>
          <w:bCs/>
        </w:rPr>
        <w:t xml:space="preserve">Step 5 - evaluate on unseen observations.</w:t>
      </w:r>
      <w:r>
        <w:t xml:space="preserve"> </w:t>
      </w:r>
      <w:r>
        <w:t xml:space="preserve">The locked SARIMA achieved test RMSE 0.2850 and MAE 0.2198 and produced non-negative point forecasts. The holdout was used to evaluate the already-selected order, not to choose among the eight candidates. Strengths are its parsimonious structure, direct treatment of annual dependence, and acceptable residuals. Limitations include sensitivity to the transformation decision, structural change, and weakening precision at longer horizons.</w:t>
      </w:r>
    </w:p>
    <w:p>
      <w:pPr>
        <w:pStyle w:val="BodyText"/>
      </w:pPr>
      <w:r>
        <w:rPr>
          <w:b/>
          <w:bCs/>
        </w:rPr>
        <w:t xml:space="preserve">Step 6 - refit and forecast the future.</w:t>
      </w:r>
      <w:r>
        <w:t xml:space="preserve"> </w:t>
      </w:r>
      <w:r>
        <w:t xml:space="preserve">The locked order was re-estimated, not merely copied, on all 300 observations. The full-sample coefficients were AR1=0.2034 and SMA1=-0.9708. The 2026 point forecast peaks at 5.2480 kWh/m²/day in March and reaches its minimum of 4.1990 in December. The corresponding 95% intervals are 4.6839–5.8122 and 3.6349–4.7632. These intervals quantify model uncertainty but do not include uncertainty from future structural change.</w:t>
      </w:r>
    </w:p>
    <w:p>
      <w:pPr>
        <w:pStyle w:val="CaptionedFigure"/>
      </w:pPr>
      <w:r>
        <w:drawing>
          <wp:inline>
            <wp:extent cx="2926080" cy="1625600"/>
            <wp:effectExtent b="0" l="0" r="0" t="0"/>
            <wp:docPr descr="Locked manual SARIMA refitted to all observations and forecast through December 2026." title="" id="30" name="Picture"/>
            <a:graphic>
              <a:graphicData uri="http://schemas.openxmlformats.org/drawingml/2006/picture">
                <pic:pic>
                  <pic:nvPicPr>
                    <pic:cNvPr descr="../analysis_outputs/nasa/manual_sarima/figures/nasa_final_forecast.png" id="31" name="Picture"/>
                    <pic:cNvPicPr>
                      <a:picLocks noChangeArrowheads="1" noChangeAspect="1"/>
                    </pic:cNvPicPr>
                  </pic:nvPicPr>
                  <pic:blipFill>
                    <a:blip r:embed="rId29"/>
                    <a:stretch>
                      <a:fillRect/>
                    </a:stretch>
                  </pic:blipFill>
                  <pic:spPr bwMode="auto">
                    <a:xfrm>
                      <a:off x="0" y="0"/>
                      <a:ext cx="2926080" cy="1625600"/>
                    </a:xfrm>
                    <a:prstGeom prst="rect">
                      <a:avLst/>
                    </a:prstGeom>
                    <a:noFill/>
                    <a:ln w="9525">
                      <a:noFill/>
                      <a:headEnd/>
                      <a:tailEnd/>
                    </a:ln>
                  </pic:spPr>
                </pic:pic>
              </a:graphicData>
            </a:graphic>
          </wp:inline>
        </w:drawing>
      </w:r>
    </w:p>
    <w:p>
      <w:pPr>
        <w:pStyle w:val="ImageCaption"/>
      </w:pPr>
      <w:r>
        <w:t xml:space="preserve">Locked manual SARIMA refitted to all observations and forecast through December 2026.</w:t>
      </w:r>
    </w:p>
    <w:bookmarkEnd w:id="32"/>
    <w:bookmarkStart w:id="33" w:name="conclusion"/>
    <w:p>
      <w:pPr>
        <w:pStyle w:val="Heading1"/>
      </w:pPr>
      <w:r>
        <w:t xml:space="preserve">Conclusion</w:t>
      </w:r>
    </w:p>
    <w:p>
      <w:pPr>
        <w:pStyle w:val="FirstParagraph"/>
      </w:pPr>
      <w:r>
        <w:t xml:space="preserve">The manual Box–Jenkins process selected ARIMA</w:t>
      </w:r>
      <m:oMath>
        <m:r>
          <m:rPr>
            <m:sty m:val="p"/>
          </m:rPr>
          <m:t>(</m:t>
        </m:r>
        <m:r>
          <m:t>1</m:t>
        </m:r>
        <m:r>
          <m:rPr>
            <m:sty m:val="p"/>
          </m:rPr>
          <m:t>,</m:t>
        </m:r>
        <m:r>
          <m:t>0</m:t>
        </m:r>
        <m:r>
          <m:rPr>
            <m:sty m:val="p"/>
          </m:rPr>
          <m:t>,</m:t>
        </m:r>
        <m:r>
          <m:t>0</m:t>
        </m:r>
        <m:r>
          <m:rPr>
            <m:sty m:val="p"/>
          </m:rPr>
          <m:t>)</m:t>
        </m:r>
        <m:r>
          <m:rPr>
            <m:sty m:val="p"/>
          </m:rPr>
          <m:t>(</m:t>
        </m:r>
        <m:r>
          <m:t>0</m:t>
        </m:r>
        <m:r>
          <m:rPr>
            <m:sty m:val="p"/>
          </m:rPr>
          <m:t>,</m:t>
        </m:r>
        <m:r>
          <m:t>1</m:t>
        </m:r>
        <m:r>
          <m:rPr>
            <m:sty m:val="p"/>
          </m:rPr>
          <m:t>,</m:t>
        </m:r>
        <m:r>
          <m:t>1</m:t>
        </m:r>
        <m:sSub>
          <m:e>
            <m:r>
              <m:rPr>
                <m:sty m:val="p"/>
              </m:rPr>
              <m:t>)</m:t>
            </m:r>
          </m:e>
          <m:sub>
            <m:r>
              <m:t>12</m:t>
            </m:r>
          </m:sub>
        </m:sSub>
      </m:oMath>
      <w:r>
        <w:t xml:space="preserve">:</w:t>
      </w:r>
      <w:r>
        <w:t xml:space="preserve"> </w:t>
      </w:r>
      <m:oMath>
        <m:r>
          <m:t>m</m:t>
        </m:r>
        <m:r>
          <m:rPr>
            <m:sty m:val="p"/>
          </m:rPr>
          <m:t>=</m:t>
        </m:r>
        <m:r>
          <m:t>12</m:t>
        </m:r>
      </m:oMath>
      <w:r>
        <w:t xml:space="preserve"> </w:t>
      </w:r>
      <w:r>
        <w:t xml:space="preserve">came from monthly frequency,</w:t>
      </w:r>
      <w:r>
        <w:t xml:space="preserve"> </w:t>
      </w:r>
      <m:oMath>
        <m:r>
          <m:t>D</m:t>
        </m:r>
        <m:r>
          <m:rPr>
            <m:sty m:val="p"/>
          </m:rPr>
          <m:t>=</m:t>
        </m:r>
        <m:r>
          <m:t>1</m:t>
        </m:r>
      </m:oMath>
      <w:r>
        <w:t xml:space="preserve"> </w:t>
      </w:r>
      <w:r>
        <w:t xml:space="preserve">from persistent annual dependence,</w:t>
      </w:r>
      <w:r>
        <w:t xml:space="preserve"> </w:t>
      </w:r>
      <m:oMath>
        <m:r>
          <m:t>d</m:t>
        </m:r>
        <m:r>
          <m:rPr>
            <m:sty m:val="p"/>
          </m:rPr>
          <m:t>=</m:t>
        </m:r>
        <m:r>
          <m:t>0</m:t>
        </m:r>
      </m:oMath>
      <w:r>
        <w:t xml:space="preserve"> </w:t>
      </w:r>
      <w:r>
        <w:t xml:space="preserve">from the stationary post-seasonal-difference behaviour,</w:t>
      </w:r>
      <w:r>
        <w:t xml:space="preserve"> </w:t>
      </w:r>
      <m:oMath>
        <m:r>
          <m:t>p</m:t>
        </m:r>
        <m:r>
          <m:rPr>
            <m:sty m:val="p"/>
          </m:rPr>
          <m:t>=</m:t>
        </m:r>
        <m:r>
          <m:t>1</m:t>
        </m:r>
      </m:oMath>
      <w:r>
        <w:t xml:space="preserve"> </w:t>
      </w:r>
      <w:r>
        <w:t xml:space="preserve">from the short ordinary-lag pattern, and</w:t>
      </w:r>
      <w:r>
        <w:t xml:space="preserve"> </w:t>
      </w:r>
      <m:oMath>
        <m:r>
          <m:t>Q</m:t>
        </m:r>
        <m:r>
          <m:rPr>
            <m:sty m:val="p"/>
          </m:rPr>
          <m:t>=</m:t>
        </m:r>
        <m:r>
          <m:t>1</m:t>
        </m:r>
      </m:oMath>
      <w:r>
        <w:t xml:space="preserve"> </w:t>
      </w:r>
      <w:r>
        <w:t xml:space="preserve">from the seasonal ACF cut-off. The model achieved test RMSE 0.2850 and MAE 0.2198, while the lag-24 Ljung–Box result did not reject residual white noise. The future forecast retains the annual cycle, but transformation sensitivity, structural change, and long-horizon uncertainty remain limitations. Rolling-origin validation and weather regressors should be examined before operational use. Irradiance forecasts do not directly predict photovoltaic electricity generation.</w:t>
      </w:r>
    </w:p>
    <w:bookmarkEnd w:id="33"/>
    <w:bookmarkStart w:id="41" w:name="references"/>
    <w:p>
      <w:pPr>
        <w:pStyle w:val="Heading1"/>
      </w:pPr>
      <w:r>
        <w:t xml:space="preserve">References</w:t>
      </w:r>
    </w:p>
    <w:bookmarkStart w:id="40" w:name="refs"/>
    <w:bookmarkStart w:id="35" w:name="ref-forecast-checkresiduals"/>
    <w:p>
      <w:pPr>
        <w:pStyle w:val="Bibliography"/>
      </w:pPr>
      <w:r>
        <w:t xml:space="preserve">Hyndman, R. J. (n.d.).</w:t>
      </w:r>
      <w:r>
        <w:t xml:space="preserve"> </w:t>
      </w:r>
      <w:r>
        <w:rPr>
          <w:i/>
          <w:iCs/>
        </w:rPr>
        <w:t xml:space="preserve">Check that residuals from a time series model look like white noise</w:t>
      </w:r>
      <w:r>
        <w:t xml:space="preserve">. Retrieved 1 September 2026, from</w:t>
      </w:r>
      <w:r>
        <w:t xml:space="preserve"> </w:t>
      </w:r>
      <w:hyperlink r:id="rId34">
        <w:r>
          <w:rPr>
            <w:rStyle w:val="Hyperlink"/>
          </w:rPr>
          <w:t xml:space="preserve">https://pkg.robjhyndman.com/forecast/reference/checkresiduals.html</w:t>
        </w:r>
      </w:hyperlink>
    </w:p>
    <w:bookmarkEnd w:id="35"/>
    <w:bookmarkStart w:id="37" w:name="ref-hyndman-athanasopoulos-2021"/>
    <w:p>
      <w:pPr>
        <w:pStyle w:val="Bibliography"/>
      </w:pPr>
      <w:r>
        <w:t xml:space="preserve">Hyndman, R. J., &amp; Athanasopoulos, G. (2021).</w:t>
      </w:r>
      <w:r>
        <w:t xml:space="preserve"> </w:t>
      </w:r>
      <w:r>
        <w:rPr>
          <w:i/>
          <w:iCs/>
        </w:rPr>
        <w:t xml:space="preserve">Forecasting: Principles and practice</w:t>
      </w:r>
      <w:r>
        <w:t xml:space="preserve"> </w:t>
      </w:r>
      <w:r>
        <w:t xml:space="preserve">(3rd edn). OTexts.</w:t>
      </w:r>
      <w:r>
        <w:t xml:space="preserve"> </w:t>
      </w:r>
      <w:hyperlink r:id="rId36">
        <w:r>
          <w:rPr>
            <w:rStyle w:val="Hyperlink"/>
          </w:rPr>
          <w:t xml:space="preserve">https://otexts.com/fpp3/</w:t>
        </w:r>
      </w:hyperlink>
    </w:p>
    <w:bookmarkEnd w:id="37"/>
    <w:bookmarkStart w:id="39" w:name="ref-nasa-power-monthly"/>
    <w:p>
      <w:pPr>
        <w:pStyle w:val="Bibliography"/>
      </w:pPr>
      <w:r>
        <w:t xml:space="preserve">NASA Prediction Of Worldwide Energy Resources. (n.d.).</w:t>
      </w:r>
      <w:r>
        <w:t xml:space="preserve"> </w:t>
      </w:r>
      <w:r>
        <w:rPr>
          <w:i/>
          <w:iCs/>
        </w:rPr>
        <w:t xml:space="preserve">Monthly and annual API</w:t>
      </w:r>
      <w:r>
        <w:t xml:space="preserve">. Retrieved 1 September 2026, from</w:t>
      </w:r>
      <w:r>
        <w:t xml:space="preserve"> </w:t>
      </w:r>
      <w:hyperlink r:id="rId38">
        <w:r>
          <w:rPr>
            <w:rStyle w:val="Hyperlink"/>
          </w:rPr>
          <w:t xml:space="preserve">https://power.larc.nasa.gov/docs/services/api/temporal/monthly/</w:t>
        </w:r>
      </w:hyperlink>
    </w:p>
    <w:bookmarkEnd w:id="39"/>
    <w:bookmarkEnd w:id="40"/>
    <w:bookmarkEnd w:id="41"/>
    <w:bookmarkStart w:id="46" w:name="appendix"/>
    <w:p>
      <w:pPr>
        <w:pStyle w:val="Heading1"/>
      </w:pPr>
      <w:r>
        <w:t xml:space="preserve">Appendix</w:t>
      </w:r>
    </w:p>
    <w:bookmarkStart w:id="45" w:name="appendix-a-reproducible-sarima-code"/>
    <w:p>
      <w:pPr>
        <w:pStyle w:val="Heading2"/>
      </w:pPr>
      <w:r>
        <w:t xml:space="preserve">Appendix A: Reproducible SARIMA Code</w:t>
      </w:r>
    </w:p>
    <w:p>
      <w:pPr>
        <w:pStyle w:val="FirstParagraph"/>
      </w:pPr>
      <w:r>
        <w:t xml:space="preserve">Canonical source:</w:t>
      </w:r>
      <w:r>
        <w:t xml:space="preserve"> </w:t>
      </w:r>
      <w:r>
        <w:rPr>
          <w:rStyle w:val="VerbatimChar"/>
        </w:rPr>
        <w:t xml:space="preserve">../NASA_Solar_Irradiance_Forecasting.R</w:t>
      </w:r>
      <w:r>
        <w:t xml:space="preserve">. No random procedure is used, so no random seed is required.</w:t>
      </w:r>
    </w:p>
    <w:p>
      <w:pPr>
        <w:pStyle w:val="CaptionedFigure"/>
      </w:pPr>
      <w:r>
        <w:drawing>
          <wp:inline>
            <wp:extent cx="2926080" cy="1645920"/>
            <wp:effectExtent b="0" l="0" r="0" t="0"/>
            <wp:docPr descr="Manual SARIMA training response residuals and residual ACF." title="" id="43" name="Picture"/>
            <a:graphic>
              <a:graphicData uri="http://schemas.openxmlformats.org/drawingml/2006/picture">
                <pic:pic>
                  <pic:nvPicPr>
                    <pic:cNvPr descr="../analysis_outputs/nasa/manual_sarima/figures/nasa_sarima_diagnostics.png" id="44" name="Picture"/>
                    <pic:cNvPicPr>
                      <a:picLocks noChangeArrowheads="1" noChangeAspect="1"/>
                    </pic:cNvPicPr>
                  </pic:nvPicPr>
                  <pic:blipFill>
                    <a:blip r:embed="rId42"/>
                    <a:stretch>
                      <a:fillRect/>
                    </a:stretch>
                  </pic:blipFill>
                  <pic:spPr bwMode="auto">
                    <a:xfrm>
                      <a:off x="0" y="0"/>
                      <a:ext cx="2926080" cy="1645920"/>
                    </a:xfrm>
                    <a:prstGeom prst="rect">
                      <a:avLst/>
                    </a:prstGeom>
                    <a:noFill/>
                    <a:ln w="9525">
                      <a:noFill/>
                      <a:headEnd/>
                      <a:tailEnd/>
                    </a:ln>
                  </pic:spPr>
                </pic:pic>
              </a:graphicData>
            </a:graphic>
          </wp:inline>
        </w:drawing>
      </w:r>
    </w:p>
    <w:p>
      <w:pPr>
        <w:pStyle w:val="ImageCaption"/>
      </w:pPr>
      <w:r>
        <w:t xml:space="preserve">Manual SARIMA training response residuals and residual ACF.</w:t>
      </w:r>
    </w:p>
    <w:p>
      <w:pPr>
        <w:pStyle w:val="SourceCode"/>
      </w:pPr>
      <w:r>
        <w:rPr>
          <w:rStyle w:val="VerbatimChar"/>
        </w:rPr>
        <w:t xml:space="preserve">train &lt;- window(series, end = c(2020, 12))</w:t>
      </w:r>
      <w:r>
        <w:br/>
      </w:r>
      <w:r>
        <w:rPr>
          <w:rStyle w:val="VerbatimChar"/>
        </w:rPr>
        <w:t xml:space="preserve">test  &lt;- window(series, start = c(2021, 1))</w:t>
      </w:r>
      <w:r>
        <w:br/>
      </w:r>
      <w:r>
        <w:br/>
      </w:r>
      <w:r>
        <w:rPr>
          <w:rStyle w:val="VerbatimChar"/>
        </w:rPr>
        <w:t xml:space="preserve"># Manual transformation and differencing decisions, based on training only.</w:t>
      </w:r>
      <w:r>
        <w:br/>
      </w:r>
      <w:r>
        <w:rPr>
          <w:rStyle w:val="VerbatimChar"/>
        </w:rPr>
        <w:t xml:space="preserve">BoxCox.lambda(train, method = "guerrero")       # supporting diagnostic</w:t>
      </w:r>
      <w:r>
        <w:br/>
      </w:r>
      <w:r>
        <w:rPr>
          <w:rStyle w:val="VerbatimChar"/>
        </w:rPr>
        <w:t xml:space="preserve">ndiffs(train, test = "kpss")                    # supporting diagnostic</w:t>
      </w:r>
      <w:r>
        <w:br/>
      </w:r>
      <w:r>
        <w:rPr>
          <w:rStyle w:val="VerbatimChar"/>
        </w:rPr>
        <w:t xml:space="preserve">nsdiffs(train, test = "seas")                   # supporting diagnostic</w:t>
      </w:r>
      <w:r>
        <w:br/>
      </w:r>
      <w:r>
        <w:rPr>
          <w:rStyle w:val="VerbatimChar"/>
        </w:rPr>
        <w:t xml:space="preserve">d &lt;- 0L; D &lt;- 1L; m &lt;- 12L                       # decisions after plot review</w:t>
      </w:r>
      <w:r>
        <w:br/>
      </w:r>
      <w:r>
        <w:rPr>
          <w:rStyle w:val="VerbatimChar"/>
        </w:rPr>
        <w:t xml:space="preserve">identified &lt;- diff(train, lag = m, differences = D)</w:t>
      </w:r>
      <w:r>
        <w:br/>
      </w:r>
      <w:r>
        <w:rPr>
          <w:rStyle w:val="VerbatimChar"/>
        </w:rPr>
        <w:t xml:space="preserve">Acf(identified, lag.max = 48)</w:t>
      </w:r>
      <w:r>
        <w:br/>
      </w:r>
      <w:r>
        <w:rPr>
          <w:rStyle w:val="VerbatimChar"/>
        </w:rPr>
        <w:t xml:space="preserve">Pacf(identified, lag.max = 48)</w:t>
      </w:r>
      <w:r>
        <w:br/>
      </w:r>
      <w:r>
        <w:br/>
      </w:r>
      <w:r>
        <w:rPr>
          <w:rStyle w:val="VerbatimChar"/>
        </w:rPr>
        <w:t xml:space="preserve"># ACF/PACF-based candidate orders; every fit is explicit.</w:t>
      </w:r>
      <w:r>
        <w:br/>
      </w:r>
      <w:r>
        <w:rPr>
          <w:rStyle w:val="VerbatimChar"/>
        </w:rPr>
        <w:t xml:space="preserve">candidates &lt;- list(</w:t>
      </w:r>
      <w:r>
        <w:br/>
      </w:r>
      <w:r>
        <w:rPr>
          <w:rStyle w:val="VerbatimChar"/>
        </w:rPr>
        <w:t xml:space="preserve">  c(1,0,0, 0,1,1), c(0,0,1, 0,1,1), c(0,0,2, 0,1,1),</w:t>
      </w:r>
      <w:r>
        <w:br/>
      </w:r>
      <w:r>
        <w:rPr>
          <w:rStyle w:val="VerbatimChar"/>
        </w:rPr>
        <w:t xml:space="preserve">  c(2,0,0, 0,1,1), c(1,0,1, 0,1,1), c(1,0,0, 1,1,1),</w:t>
      </w:r>
      <w:r>
        <w:br/>
      </w:r>
      <w:r>
        <w:rPr>
          <w:rStyle w:val="VerbatimChar"/>
        </w:rPr>
        <w:t xml:space="preserve">  c(1,0,0, 2,1,1), c(0,0,2, 2,1,1)</w:t>
      </w:r>
      <w:r>
        <w:br/>
      </w:r>
      <w:r>
        <w:rPr>
          <w:rStyle w:val="VerbatimChar"/>
        </w:rPr>
        <w:t xml:space="preserve">)</w:t>
      </w:r>
      <w:r>
        <w:br/>
      </w:r>
      <w:r>
        <w:rPr>
          <w:rStyle w:val="VerbatimChar"/>
        </w:rPr>
        <w:t xml:space="preserve">fits &lt;- lapply(candidates, function(x) Arima(</w:t>
      </w:r>
      <w:r>
        <w:br/>
      </w:r>
      <w:r>
        <w:rPr>
          <w:rStyle w:val="VerbatimChar"/>
        </w:rPr>
        <w:t xml:space="preserve">  train, order = x[1:3],</w:t>
      </w:r>
      <w:r>
        <w:br/>
      </w:r>
      <w:r>
        <w:rPr>
          <w:rStyle w:val="VerbatimChar"/>
        </w:rPr>
        <w:t xml:space="preserve">  seasonal = list(order = x[4:6], period = m),</w:t>
      </w:r>
      <w:r>
        <w:br/>
      </w:r>
      <w:r>
        <w:rPr>
          <w:rStyle w:val="VerbatimChar"/>
        </w:rPr>
        <w:t xml:space="preserve">  include.mean = FALSE, include.drift = FALSE, method = "CSS-ML"</w:t>
      </w:r>
      <w:r>
        <w:br/>
      </w:r>
      <w:r>
        <w:rPr>
          <w:rStyle w:val="VerbatimChar"/>
        </w:rPr>
        <w:t xml:space="preserve">))</w:t>
      </w:r>
      <w:r>
        <w:br/>
      </w:r>
      <w:r>
        <w:rPr>
          <w:rStyle w:val="VerbatimChar"/>
        </w:rPr>
        <w:t xml:space="preserve">candidate_aicc &lt;- vapply(fits, function(x) x$aicc, numeric(1))</w:t>
      </w:r>
      <w:r>
        <w:br/>
      </w:r>
      <w:r>
        <w:rPr>
          <w:rStyle w:val="VerbatimChar"/>
        </w:rPr>
        <w:t xml:space="preserve">ranked &lt;- order(candidate_aicc)</w:t>
      </w:r>
      <w:r>
        <w:br/>
      </w:r>
      <w:r>
        <w:br/>
      </w:r>
      <w:r>
        <w:rPr>
          <w:rStyle w:val="VerbatimChar"/>
        </w:rPr>
        <w:t xml:space="preserve"># Accept the first AICc-ranked fit whose residuals pass the declared gate.</w:t>
      </w:r>
      <w:r>
        <w:br/>
      </w:r>
      <w:r>
        <w:rPr>
          <w:rStyle w:val="VerbatimChar"/>
        </w:rPr>
        <w:t xml:space="preserve">passes_gate &lt;- vapply(fits, function(x) {</w:t>
      </w:r>
      <w:r>
        <w:br/>
      </w:r>
      <w:r>
        <w:rPr>
          <w:rStyle w:val="VerbatimChar"/>
        </w:rPr>
        <w:t xml:space="preserve">  r &lt;- as.numeric(train) - as.numeric(fitted(x))</w:t>
      </w:r>
      <w:r>
        <w:br/>
      </w:r>
      <w:r>
        <w:rPr>
          <w:rStyle w:val="VerbatimChar"/>
        </w:rPr>
        <w:t xml:space="preserve">  Box.test(r, lag = 24, type = "Ljung-Box",</w:t>
      </w:r>
      <w:r>
        <w:br/>
      </w:r>
      <w:r>
        <w:rPr>
          <w:rStyle w:val="VerbatimChar"/>
        </w:rPr>
        <w:t xml:space="preserve">           fitdf = length(coef(x)))$p.value &gt; 0.05</w:t>
      </w:r>
      <w:r>
        <w:br/>
      </w:r>
      <w:r>
        <w:rPr>
          <w:rStyle w:val="VerbatimChar"/>
        </w:rPr>
        <w:t xml:space="preserve">}, logical(1))</w:t>
      </w:r>
      <w:r>
        <w:br/>
      </w:r>
      <w:r>
        <w:rPr>
          <w:rStyle w:val="VerbatimChar"/>
        </w:rPr>
        <w:t xml:space="preserve">selected_index &lt;- ranked[which(passes_gate[ranked])[1]]</w:t>
      </w:r>
      <w:r>
        <w:br/>
      </w:r>
      <w:r>
        <w:rPr>
          <w:rStyle w:val="VerbatimChar"/>
        </w:rPr>
        <w:t xml:space="preserve">sarima_fit &lt;- fits[[selected_index]]</w:t>
      </w:r>
      <w:r>
        <w:br/>
      </w:r>
      <w:r>
        <w:rPr>
          <w:rStyle w:val="VerbatimChar"/>
        </w:rPr>
        <w:t xml:space="preserve">sarima_fc &lt;- forecast(sarima_fit, h = length(test), level = c(80, 95))</w:t>
      </w:r>
      <w:r>
        <w:br/>
      </w:r>
      <w:r>
        <w:br/>
      </w:r>
      <w:r>
        <w:rPr>
          <w:rStyle w:val="VerbatimChar"/>
        </w:rPr>
        <w:t xml:space="preserve"># Lock the order, refit it to all observations, and forecast 2026.</w:t>
      </w:r>
      <w:r>
        <w:br/>
      </w:r>
      <w:r>
        <w:rPr>
          <w:rStyle w:val="VerbatimChar"/>
        </w:rPr>
        <w:t xml:space="preserve">locked &lt;- candidates[[selected_index]]</w:t>
      </w:r>
      <w:r>
        <w:br/>
      </w:r>
      <w:r>
        <w:rPr>
          <w:rStyle w:val="VerbatimChar"/>
        </w:rPr>
        <w:t xml:space="preserve">full_fit &lt;- Arima(</w:t>
      </w:r>
      <w:r>
        <w:br/>
      </w:r>
      <w:r>
        <w:rPr>
          <w:rStyle w:val="VerbatimChar"/>
        </w:rPr>
        <w:t xml:space="preserve">  series, order = locked[1:3],</w:t>
      </w:r>
      <w:r>
        <w:br/>
      </w:r>
      <w:r>
        <w:rPr>
          <w:rStyle w:val="VerbatimChar"/>
        </w:rPr>
        <w:t xml:space="preserve">  seasonal = list(order = locked[4:6], period = m),</w:t>
      </w:r>
      <w:r>
        <w:br/>
      </w:r>
      <w:r>
        <w:rPr>
          <w:rStyle w:val="VerbatimChar"/>
        </w:rPr>
        <w:t xml:space="preserve">  include.mean = FALSE, include.drift = FALSE, method = "CSS-ML"</w:t>
      </w:r>
      <w:r>
        <w:br/>
      </w:r>
      <w:r>
        <w:rPr>
          <w:rStyle w:val="VerbatimChar"/>
        </w:rPr>
        <w:t xml:space="preserve">)</w:t>
      </w:r>
      <w:r>
        <w:br/>
      </w:r>
      <w:r>
        <w:rPr>
          <w:rStyle w:val="VerbatimChar"/>
        </w:rPr>
        <w:t xml:space="preserve">forecast(full_fit, h = 12, level = c(80, 95))</w:t>
      </w:r>
    </w:p>
    <w:bookmarkEnd w:id="45"/>
    <w:bookmarkEnd w:id="46"/>
    <w:sectPr w:rsidR="00D7522C" w:rsidRPr="00CA4392" w:rsidSect="00E41015">
      <w:headerReference r:id="rId8" w:type="even"/>
      <w:headerReference r:id="rId9" w:type="default"/>
      <w:footerReference r:id="rId10" w:type="even"/>
      <w:footerReference r:id="rId11" w:type="default"/>
      <w:headerReference r:id="rId12" w:type="first"/>
      <w:footerReference r:id="rId13" w:type="first"/>
      <w:type w:val="continuous"/>
      <w:pgSz w:code="1" w:h="15840" w:w="12240"/>
      <w:pgMar w:bottom="1440" w:footer="720" w:gutter="0" w:header="720" w:left="893" w:right="893" w:top="1080"/>
      <w:cols w:num="2" w:space="36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C890E" w14:textId="77777777" w:rsidR="00E41015" w:rsidRDefault="00E410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6CC85" w14:textId="77777777" w:rsidR="00E41015" w:rsidRDefault="00E410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EAAFE" w14:textId="77777777" w:rsidR="00E41015" w:rsidRDefault="00E410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9F4F3" w14:textId="77777777" w:rsidR="00E41015" w:rsidRDefault="00E4101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A3D8C" w14:textId="77777777" w:rsidR="00E41015" w:rsidRDefault="00E41015">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7A36CE9E"/>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DD629BE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2648E1C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9D38DB54"/>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632C24E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82268A1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8C0E77F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174639B8"/>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B1ACC408"/>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229E8DF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EA847AF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1E177E97"/>
    <w:multiLevelType w:val="hybridMultilevel"/>
    <w:tmpl w:val="A6463BCE"/>
    <w:lvl w:ilvl="0" w:tplc="04140013">
      <w:start w:val="1"/>
      <w:numFmt w:val="upperRoman"/>
      <w:lvlText w:val="%1."/>
      <w:lvlJc w:val="right"/>
      <w:pPr>
        <w:ind w:hanging="360" w:left="936"/>
      </w:pPr>
    </w:lvl>
    <w:lvl w:ilvl="1" w:tentative="1" w:tplc="04140019">
      <w:start w:val="1"/>
      <w:numFmt w:val="lowerLetter"/>
      <w:lvlText w:val="%2."/>
      <w:lvlJc w:val="left"/>
      <w:pPr>
        <w:ind w:hanging="360" w:left="1656"/>
      </w:pPr>
    </w:lvl>
    <w:lvl w:ilvl="2" w:tentative="1" w:tplc="0414001B">
      <w:start w:val="1"/>
      <w:numFmt w:val="lowerRoman"/>
      <w:lvlText w:val="%3."/>
      <w:lvlJc w:val="right"/>
      <w:pPr>
        <w:ind w:hanging="180" w:left="2376"/>
      </w:pPr>
    </w:lvl>
    <w:lvl w:ilvl="3" w:tentative="1" w:tplc="0414000F">
      <w:start w:val="1"/>
      <w:numFmt w:val="decimal"/>
      <w:lvlText w:val="%4."/>
      <w:lvlJc w:val="left"/>
      <w:pPr>
        <w:ind w:hanging="360" w:left="3096"/>
      </w:pPr>
    </w:lvl>
    <w:lvl w:ilvl="4" w:tentative="1" w:tplc="04140019">
      <w:start w:val="1"/>
      <w:numFmt w:val="lowerLetter"/>
      <w:lvlText w:val="%5."/>
      <w:lvlJc w:val="left"/>
      <w:pPr>
        <w:ind w:hanging="360" w:left="3816"/>
      </w:pPr>
    </w:lvl>
    <w:lvl w:ilvl="5" w:tentative="1" w:tplc="0414001B">
      <w:start w:val="1"/>
      <w:numFmt w:val="lowerRoman"/>
      <w:lvlText w:val="%6."/>
      <w:lvlJc w:val="right"/>
      <w:pPr>
        <w:ind w:hanging="180" w:left="4536"/>
      </w:pPr>
    </w:lvl>
    <w:lvl w:ilvl="6" w:tentative="1" w:tplc="0414000F">
      <w:start w:val="1"/>
      <w:numFmt w:val="decimal"/>
      <w:lvlText w:val="%7."/>
      <w:lvlJc w:val="left"/>
      <w:pPr>
        <w:ind w:hanging="360" w:left="5256"/>
      </w:pPr>
    </w:lvl>
    <w:lvl w:ilvl="7" w:tentative="1" w:tplc="04140019">
      <w:start w:val="1"/>
      <w:numFmt w:val="lowerLetter"/>
      <w:lvlText w:val="%8."/>
      <w:lvlJc w:val="left"/>
      <w:pPr>
        <w:ind w:hanging="360" w:left="5976"/>
      </w:pPr>
    </w:lvl>
    <w:lvl w:ilvl="8" w:tentative="1" w:tplc="0414001B">
      <w:start w:val="1"/>
      <w:numFmt w:val="lowerRoman"/>
      <w:lvlText w:val="%9."/>
      <w:lvlJc w:val="right"/>
      <w:pPr>
        <w:ind w:hanging="180" w:left="6696"/>
      </w:pPr>
    </w:lvl>
  </w:abstractNum>
  <w:abstractNum w15:restartNumberingAfterBreak="0" w:abstractNumId="12">
    <w:nsid w:val="20AF0333"/>
    <w:multiLevelType w:val="hybridMultilevel"/>
    <w:tmpl w:val="CB0E7F4E"/>
    <w:lvl w:ilvl="0" w:tplc="E09099E0">
      <w:start w:val="1"/>
      <w:numFmt w:val="lowerLetter"/>
      <w:lvlText w:val="%1."/>
      <w:lvlJc w:val="left"/>
      <w:pPr>
        <w:tabs>
          <w:tab w:pos="720" w:val="num"/>
        </w:tabs>
        <w:ind w:hanging="360" w:left="720"/>
      </w:pPr>
      <w:rPr>
        <w:rFonts w:cs="Times New Roman" w:hint="default"/>
        <w:i w:val="0"/>
        <w:iCs w:val="0"/>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3">
    <w:nsid w:val="26FE1FCF"/>
    <w:multiLevelType w:val="hybridMultilevel"/>
    <w:tmpl w:val="33826962"/>
    <w:lvl w:ilvl="0" w:tplc="A2947960">
      <w:start w:val="1"/>
      <w:numFmt w:val="decimal"/>
      <w:pStyle w:val="footnote"/>
      <w:lvlText w:val="%1 "/>
      <w:lvlJc w:val="left"/>
      <w:pPr>
        <w:tabs>
          <w:tab w:pos="648" w:val="num"/>
        </w:tabs>
        <w:ind w:firstLine="288"/>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4">
    <w:nsid w:val="37660336"/>
    <w:multiLevelType w:val="hybridMultilevel"/>
    <w:tmpl w:val="754EAC84"/>
    <w:lvl w:ilvl="0" w:tplc="C46877EA">
      <w:start w:val="1"/>
      <w:numFmt w:val="bullet"/>
      <w:pStyle w:val="bulletlist"/>
      <w:lvlText w:val=""/>
      <w:lvlJc w:val="left"/>
      <w:pPr>
        <w:tabs>
          <w:tab w:pos="648" w:val="num"/>
        </w:tabs>
        <w:ind w:hanging="360" w:left="648"/>
      </w:pPr>
      <w:rPr>
        <w:rFonts w:ascii="Symbol" w:hAnsi="Symbol" w:hint="default"/>
      </w:rPr>
    </w:lvl>
    <w:lvl w:ilvl="1" w:tplc="04090003">
      <w:start w:val="1"/>
      <w:numFmt w:val="bullet"/>
      <w:lvlText w:val="o"/>
      <w:lvlJc w:val="left"/>
      <w:pPr>
        <w:tabs>
          <w:tab w:pos="1440" w:val="num"/>
        </w:tabs>
        <w:ind w:hanging="360" w:left="1440"/>
      </w:pPr>
      <w:rPr>
        <w:rFonts w:ascii="Courier New" w:hAnsi="Courier New" w:hint="default"/>
      </w:rPr>
    </w:lvl>
    <w:lvl w:ilvl="2" w:tplc="04090005">
      <w:start w:val="1"/>
      <w:numFmt w:val="bullet"/>
      <w:lvlText w:val=""/>
      <w:lvlJc w:val="left"/>
      <w:pPr>
        <w:tabs>
          <w:tab w:pos="2160" w:val="num"/>
        </w:tabs>
        <w:ind w:hanging="360" w:left="2160"/>
      </w:pPr>
      <w:rPr>
        <w:rFonts w:ascii="Wingdings" w:hAnsi="Wingdings" w:hint="default"/>
      </w:rPr>
    </w:lvl>
    <w:lvl w:ilvl="3" w:tplc="04090001">
      <w:start w:val="1"/>
      <w:numFmt w:val="bullet"/>
      <w:lvlText w:val=""/>
      <w:lvlJc w:val="left"/>
      <w:pPr>
        <w:tabs>
          <w:tab w:pos="2880" w:val="num"/>
        </w:tabs>
        <w:ind w:hanging="360" w:left="2880"/>
      </w:pPr>
      <w:rPr>
        <w:rFonts w:ascii="Symbol" w:hAnsi="Symbol" w:hint="default"/>
      </w:rPr>
    </w:lvl>
    <w:lvl w:ilvl="4" w:tplc="04090003">
      <w:start w:val="1"/>
      <w:numFmt w:val="bullet"/>
      <w:lvlText w:val="o"/>
      <w:lvlJc w:val="left"/>
      <w:pPr>
        <w:tabs>
          <w:tab w:pos="3600" w:val="num"/>
        </w:tabs>
        <w:ind w:hanging="360" w:left="3600"/>
      </w:pPr>
      <w:rPr>
        <w:rFonts w:ascii="Courier New" w:hAnsi="Courier New" w:hint="default"/>
      </w:rPr>
    </w:lvl>
    <w:lvl w:ilvl="5" w:tplc="04090005">
      <w:start w:val="1"/>
      <w:numFmt w:val="bullet"/>
      <w:lvlText w:val=""/>
      <w:lvlJc w:val="left"/>
      <w:pPr>
        <w:tabs>
          <w:tab w:pos="4320" w:val="num"/>
        </w:tabs>
        <w:ind w:hanging="360" w:left="4320"/>
      </w:pPr>
      <w:rPr>
        <w:rFonts w:ascii="Wingdings" w:hAnsi="Wingdings" w:hint="default"/>
      </w:rPr>
    </w:lvl>
    <w:lvl w:ilvl="6" w:tplc="04090001">
      <w:start w:val="1"/>
      <w:numFmt w:val="bullet"/>
      <w:lvlText w:val=""/>
      <w:lvlJc w:val="left"/>
      <w:pPr>
        <w:tabs>
          <w:tab w:pos="5040" w:val="num"/>
        </w:tabs>
        <w:ind w:hanging="360" w:left="5040"/>
      </w:pPr>
      <w:rPr>
        <w:rFonts w:ascii="Symbol" w:hAnsi="Symbol" w:hint="default"/>
      </w:rPr>
    </w:lvl>
    <w:lvl w:ilvl="7" w:tplc="04090003">
      <w:start w:val="1"/>
      <w:numFmt w:val="bullet"/>
      <w:lvlText w:val="o"/>
      <w:lvlJc w:val="left"/>
      <w:pPr>
        <w:tabs>
          <w:tab w:pos="5760" w:val="num"/>
        </w:tabs>
        <w:ind w:hanging="360" w:left="5760"/>
      </w:pPr>
      <w:rPr>
        <w:rFonts w:ascii="Courier New" w:hAnsi="Courier New" w:hint="default"/>
      </w:rPr>
    </w:lvl>
    <w:lvl w:ilvl="8"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5">
    <w:nsid w:val="39E54FC6"/>
    <w:multiLevelType w:val="singleLevel"/>
    <w:tmpl w:val="5B7288D4"/>
    <w:lvl w:ilvl="0">
      <w:start w:val="14"/>
      <w:numFmt w:val="decimal"/>
      <w:lvlText w:val="%1"/>
      <w:lvlJc w:val="left"/>
      <w:pPr>
        <w:tabs>
          <w:tab w:pos="720" w:val="num"/>
        </w:tabs>
        <w:ind w:hanging="360" w:left="720"/>
      </w:pPr>
      <w:rPr>
        <w:rFonts w:cs="Times New Roman" w:hint="default"/>
      </w:rPr>
    </w:lvl>
  </w:abstractNum>
  <w:abstractNum w15:restartNumberingAfterBreak="0" w:abstractNumId="16">
    <w:nsid w:val="4189603E"/>
    <w:multiLevelType w:val="multilevel"/>
    <w:tmpl w:val="0AB06E12"/>
    <w:lvl w:ilvl="0">
      <w:start w:val="1"/>
      <w:numFmt w:val="upperRoman"/>
      <w:pStyle w:val="Heading1"/>
      <w:lvlText w:val="%1."/>
      <w:lvlJc w:val="center"/>
      <w:pPr>
        <w:tabs>
          <w:tab w:pos="576" w:val="num"/>
        </w:tabs>
        <w:ind w:firstLine="216"/>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1">
      <w:start w:val="1"/>
      <w:numFmt w:val="upperLetter"/>
      <w:pStyle w:val="Heading2"/>
      <w:lvlText w:val="%2."/>
      <w:lvlJc w:val="left"/>
      <w:pPr>
        <w:tabs>
          <w:tab w:pos="360" w:val="num"/>
        </w:tabs>
        <w:ind w:hanging="288" w:left="288"/>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2">
      <w:start w:val="1"/>
      <w:numFmt w:val="decimal"/>
      <w:pStyle w:val="Heading3"/>
      <w:lvlText w:val="%3)"/>
      <w:lvlJc w:val="left"/>
      <w:pPr>
        <w:tabs>
          <w:tab w:pos="540" w:val="num"/>
        </w:tabs>
        <w:ind w:firstLine="180"/>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3">
      <w:start w:val="1"/>
      <w:numFmt w:val="lowerLetter"/>
      <w:pStyle w:val="Heading4"/>
      <w:lvlText w:val="%4)"/>
      <w:lvlJc w:val="left"/>
      <w:pPr>
        <w:tabs>
          <w:tab w:pos="630" w:val="num"/>
        </w:tabs>
        <w:ind w:firstLine="360"/>
      </w:pPr>
      <w:rPr>
        <w:rFonts w:ascii="Times New Roman" w:cs="Times New Roman" w:hAnsi="Times New Roman" w:hint="default"/>
        <w:b w:val="0"/>
        <w:bCs w:val="0"/>
        <w:i/>
        <w:iCs/>
        <w:sz w:val="20"/>
        <w:szCs w:val="20"/>
      </w:rPr>
    </w:lvl>
    <w:lvl w:ilvl="4">
      <w:start w:val="1"/>
      <w:numFmt w:val="none"/>
      <w:lvlRestart w:val="0"/>
      <w:lvlText w:val=""/>
      <w:lvlJc w:val="left"/>
      <w:pPr>
        <w:tabs>
          <w:tab w:pos="3240" w:val="num"/>
        </w:tabs>
        <w:ind w:left="2880"/>
      </w:pPr>
      <w:rPr>
        <w:rFonts w:cs="Times New Roman" w:hint="default"/>
      </w:rPr>
    </w:lvl>
    <w:lvl w:ilvl="5">
      <w:start w:val="1"/>
      <w:numFmt w:val="lowerLetter"/>
      <w:lvlText w:val="(%6)"/>
      <w:lvlJc w:val="left"/>
      <w:pPr>
        <w:tabs>
          <w:tab w:pos="3960" w:val="num"/>
        </w:tabs>
        <w:ind w:left="3600"/>
      </w:pPr>
      <w:rPr>
        <w:rFonts w:cs="Times New Roman" w:hint="default"/>
      </w:rPr>
    </w:lvl>
    <w:lvl w:ilvl="6">
      <w:start w:val="1"/>
      <w:numFmt w:val="lowerRoman"/>
      <w:lvlText w:val="(%7)"/>
      <w:lvlJc w:val="left"/>
      <w:pPr>
        <w:tabs>
          <w:tab w:pos="4680" w:val="num"/>
        </w:tabs>
        <w:ind w:left="4320"/>
      </w:pPr>
      <w:rPr>
        <w:rFonts w:cs="Times New Roman" w:hint="default"/>
      </w:rPr>
    </w:lvl>
    <w:lvl w:ilvl="7">
      <w:start w:val="1"/>
      <w:numFmt w:val="lowerLetter"/>
      <w:lvlText w:val="(%8)"/>
      <w:lvlJc w:val="left"/>
      <w:pPr>
        <w:tabs>
          <w:tab w:pos="5400" w:val="num"/>
        </w:tabs>
        <w:ind w:left="5040"/>
      </w:pPr>
      <w:rPr>
        <w:rFonts w:cs="Times New Roman" w:hint="default"/>
      </w:rPr>
    </w:lvl>
    <w:lvl w:ilvl="8">
      <w:start w:val="1"/>
      <w:numFmt w:val="lowerRoman"/>
      <w:lvlText w:val="(%9)"/>
      <w:lvlJc w:val="left"/>
      <w:pPr>
        <w:tabs>
          <w:tab w:pos="6120" w:val="num"/>
        </w:tabs>
        <w:ind w:left="5760"/>
      </w:pPr>
      <w:rPr>
        <w:rFonts w:cs="Times New Roman" w:hint="default"/>
      </w:rPr>
    </w:lvl>
  </w:abstractNum>
  <w:abstractNum w15:restartNumberingAfterBreak="0" w:abstractNumId="17">
    <w:nsid w:val="493C3F76"/>
    <w:multiLevelType w:val="hybridMultilevel"/>
    <w:tmpl w:val="9A9E418C"/>
    <w:lvl w:ilvl="0" w:tplc="2C18EFA4">
      <w:start w:val="1"/>
      <w:numFmt w:val="lowerLetter"/>
      <w:pStyle w:val="tablefootnote"/>
      <w:lvlText w:val="%1."/>
      <w:lvlJc w:val="right"/>
      <w:pPr>
        <w:ind w:hanging="360" w:left="418"/>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2CA544A"/>
    <w:multiLevelType w:val="singleLevel"/>
    <w:tmpl w:val="AED6D67E"/>
    <w:lvl w:ilvl="0">
      <w:start w:val="1"/>
      <w:numFmt w:val="decimal"/>
      <w:pStyle w:val="references"/>
      <w:lvlText w:val="[%1]"/>
      <w:lvlJc w:val="left"/>
      <w:pPr>
        <w:tabs>
          <w:tab w:pos="360" w:val="num"/>
        </w:tabs>
        <w:ind w:hanging="360" w:left="360"/>
      </w:pPr>
      <w:rPr>
        <w:rFonts w:ascii="Times New Roman" w:cs="Times New Roman" w:hAnsi="Times New Roman" w:hint="default"/>
        <w:b w:val="0"/>
        <w:bCs w:val="0"/>
        <w:i w:val="0"/>
        <w:iCs w:val="0"/>
        <w:sz w:val="16"/>
        <w:szCs w:val="16"/>
      </w:rPr>
    </w:lvl>
  </w:abstractNum>
  <w:abstractNum w15:restartNumberingAfterBreak="0" w:abstractNumId="19">
    <w:nsid w:val="6C402C58"/>
    <w:multiLevelType w:val="hybridMultilevel"/>
    <w:tmpl w:val="9A1CA078"/>
    <w:lvl w:ilvl="0" w:tplc="C8D6570A">
      <w:start w:val="1"/>
      <w:numFmt w:val="decimal"/>
      <w:pStyle w:val="figurecaption"/>
      <w:lvlText w:val="Fig. %1."/>
      <w:lvlJc w:val="left"/>
      <w:pPr>
        <w:ind w:hanging="360" w:left="360"/>
      </w:pPr>
      <w:rPr>
        <w:rFonts w:ascii="Times New Roman" w:cs="Times New Roman" w:hAnsi="Times New Roman" w:hint="default"/>
        <w:b w:val="0"/>
        <w:bCs w:val="0"/>
        <w:i w:val="0"/>
        <w:iCs w:val="0"/>
        <w:color w:val="auto"/>
        <w:sz w:val="16"/>
        <w:szCs w:val="16"/>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20">
    <w:nsid w:val="6CD32DA8"/>
    <w:multiLevelType w:val="singleLevel"/>
    <w:tmpl w:val="166470C2"/>
    <w:lvl w:ilvl="0">
      <w:start w:val="1"/>
      <w:numFmt w:val="upperRoman"/>
      <w:pStyle w:val="tablehead"/>
      <w:lvlText w:val="TABLE %1. "/>
      <w:lvlJc w:val="left"/>
      <w:pPr>
        <w:tabs>
          <w:tab w:pos="1080" w:val="num"/>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40377641" w:numId="1">
    <w:abstractNumId w:val="14"/>
  </w:num>
  <w:num w16cid:durableId="1397439891" w:numId="2">
    <w:abstractNumId w:val="19"/>
  </w:num>
  <w:num w16cid:durableId="539585121" w:numId="3">
    <w:abstractNumId w:val="13"/>
  </w:num>
  <w:num w16cid:durableId="1505513160" w:numId="4">
    <w:abstractNumId w:val="16"/>
  </w:num>
  <w:num w16cid:durableId="978925957" w:numId="5">
    <w:abstractNumId w:val="16"/>
  </w:num>
  <w:num w16cid:durableId="1721400726" w:numId="6">
    <w:abstractNumId w:val="16"/>
  </w:num>
  <w:num w16cid:durableId="687826470" w:numId="7">
    <w:abstractNumId w:val="16"/>
  </w:num>
  <w:num w16cid:durableId="143812469" w:numId="8">
    <w:abstractNumId w:val="18"/>
  </w:num>
  <w:num w16cid:durableId="1364867722" w:numId="9">
    <w:abstractNumId w:val="20"/>
  </w:num>
  <w:num w16cid:durableId="2029989048" w:numId="10">
    <w:abstractNumId w:val="15"/>
  </w:num>
  <w:num w16cid:durableId="642739898" w:numId="11">
    <w:abstractNumId w:val="12"/>
  </w:num>
  <w:num w16cid:durableId="1272741182" w:numId="12">
    <w:abstractNumId w:val="11"/>
  </w:num>
  <w:num w16cid:durableId="851069540" w:numId="13">
    <w:abstractNumId w:val="0"/>
  </w:num>
  <w:num w16cid:durableId="529344390" w:numId="14">
    <w:abstractNumId w:val="10"/>
  </w:num>
  <w:num w16cid:durableId="894972538" w:numId="15">
    <w:abstractNumId w:val="8"/>
  </w:num>
  <w:num w16cid:durableId="1023093075" w:numId="16">
    <w:abstractNumId w:val="7"/>
  </w:num>
  <w:num w16cid:durableId="1951620780" w:numId="17">
    <w:abstractNumId w:val="6"/>
  </w:num>
  <w:num w16cid:durableId="1765606468" w:numId="18">
    <w:abstractNumId w:val="5"/>
  </w:num>
  <w:num w16cid:durableId="409623909" w:numId="19">
    <w:abstractNumId w:val="9"/>
  </w:num>
  <w:num w16cid:durableId="1936084648" w:numId="20">
    <w:abstractNumId w:val="4"/>
  </w:num>
  <w:num w16cid:durableId="146483437" w:numId="21">
    <w:abstractNumId w:val="3"/>
  </w:num>
  <w:num w16cid:durableId="1467505995" w:numId="22">
    <w:abstractNumId w:val="2"/>
  </w:num>
  <w:num w16cid:durableId="1408696933" w:numId="23">
    <w:abstractNumId w:val="1"/>
  </w:num>
  <w:num w16cid:durableId="1366640472" w:numId="24">
    <w:abstractNumId w:val="17"/>
  </w:num>
  <w:num w16cid:durableId="1917282883" w:numId="25">
    <w:abstractNumId w:val="1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74903"/>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D54F6"/>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1CCC"/>
    <w:rsid w:val="00D632BE"/>
    <w:rsid w:val="00D72D06"/>
    <w:rsid w:val="00D7522C"/>
    <w:rsid w:val="00D7536F"/>
    <w:rsid w:val="00D76668"/>
    <w:rsid w:val="00D81CDC"/>
    <w:rsid w:val="00E41015"/>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SimSun" w:hAnsi="Times New Roman"/>
        <w:lang w:bidi="ar-SA" w:eastAsia="en-US" w:val="en-GB"/>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semiHidden="1" w:unhideWhenUsed="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20"/>
      <w:ind w:firstLine="288"/>
      <w:jc w:val="both"/>
    </w:pPr>
  </w:style>
  <w:style w:styleId="Heading1" w:type="paragraph">
    <w:name w:val="heading 1"/>
    <w:basedOn w:val="Normal"/>
    <w:next w:val="Normal"/>
    <w:qFormat/>
    <w:rsid w:val="006B6B66"/>
    <w:pPr>
      <w:keepNext/>
      <w:keepLines/>
      <w:numPr>
        <w:numId w:val="4"/>
      </w:numPr>
      <w:tabs>
        <w:tab w:pos="216" w:val="left"/>
      </w:tabs>
      <w:spacing w:after="80" w:before="160"/>
      <w:ind w:firstLine="0"/>
      <w:outlineLvl w:val="0"/>
    </w:pPr>
    <w:rPr>
      <w:smallCaps/>
      <w:noProof/>
    </w:rPr>
  </w:style>
  <w:style w:styleId="Heading2" w:type="paragraph">
    <w:name w:val="heading 2"/>
    <w:basedOn w:val="Normal"/>
    <w:next w:val="Normal"/>
    <w:qFormat/>
    <w:rsid w:val="00ED0149"/>
    <w:pPr>
      <w:keepNext/>
      <w:keepLines/>
      <w:numPr>
        <w:ilvl w:val="1"/>
        <w:numId w:val="4"/>
      </w:numPr>
      <w:tabs>
        <w:tab w:pos="360" w:val="clear"/>
        <w:tab w:pos="288" w:val="num"/>
      </w:tabs>
      <w:spacing w:after="60" w:before="120"/>
      <w:jc w:val="left"/>
      <w:outlineLvl w:val="1"/>
    </w:pPr>
    <w:rPr>
      <w:i/>
      <w:iCs/>
      <w:noProof/>
    </w:rPr>
  </w:style>
  <w:style w:styleId="Heading3" w:type="paragraph">
    <w:name w:val="heading 3"/>
    <w:basedOn w:val="Normal"/>
    <w:next w:val="Normal"/>
    <w:qFormat/>
    <w:rsid w:val="00794804"/>
    <w:pPr>
      <w:numPr>
        <w:ilvl w:val="2"/>
        <w:numId w:val="4"/>
      </w:numPr>
      <w:spacing w:line="240" w:lineRule="exact"/>
      <w:ind w:firstLine="288"/>
      <w:outlineLvl w:val="2"/>
    </w:pPr>
    <w:rPr>
      <w:i/>
      <w:iCs/>
      <w:noProof/>
    </w:rPr>
  </w:style>
  <w:style w:styleId="Heading4" w:type="paragraph">
    <w:name w:val="heading 4"/>
    <w:basedOn w:val="Normal"/>
    <w:next w:val="Normal"/>
    <w:qFormat/>
    <w:rsid w:val="00794804"/>
    <w:pPr>
      <w:numPr>
        <w:ilvl w:val="3"/>
        <w:numId w:val="4"/>
      </w:numPr>
      <w:tabs>
        <w:tab w:pos="630" w:val="clear"/>
        <w:tab w:pos="720" w:val="left"/>
      </w:tabs>
      <w:spacing w:after="40" w:before="40"/>
      <w:ind w:firstLine="504"/>
      <w:outlineLvl w:val="3"/>
    </w:pPr>
    <w:rPr>
      <w:i/>
      <w:iCs/>
      <w:noProof/>
    </w:rPr>
  </w:style>
  <w:style w:styleId="Heading5" w:type="paragraph">
    <w:name w:val="heading 5"/>
    <w:basedOn w:val="Normal"/>
    <w:next w:val="Normal"/>
    <w:qFormat/>
    <w:pPr>
      <w:tabs>
        <w:tab w:pos="360" w:val="left"/>
      </w:tabs>
      <w:spacing w:after="80" w:before="160"/>
      <w:outlineLvl w:val="4"/>
    </w:pPr>
    <w:rPr>
      <w:smallCaps/>
      <w:noProof/>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bstract" w:type="paragraph">
    <w:name w:val="Abstract"/>
    <w:rsid w:val="00972203"/>
    <w:pPr>
      <w:spacing w:after="200"/>
      <w:ind w:firstLine="272"/>
      <w:jc w:val="both"/>
    </w:pPr>
    <w:rPr>
      <w:b/>
      <w:bCs/>
      <w:sz w:val="18"/>
      <w:szCs w:val="18"/>
    </w:rPr>
  </w:style>
  <w:style w:customStyle="1" w:styleId="Affiliation" w:type="paragraph">
    <w:name w:val="Affiliation"/>
    <w:pPr>
      <w:jc w:val="center"/>
    </w:pPr>
  </w:style>
  <w:style w:customStyle="1" w:styleId="Author" w:type="paragraph">
    <w:name w:val="Author"/>
    <w:pPr>
      <w:spacing w:after="40" w:before="360"/>
      <w:jc w:val="center"/>
    </w:pPr>
    <w:rPr>
      <w:noProof/>
      <w:sz w:val="22"/>
      <w:szCs w:val="22"/>
    </w:rPr>
  </w:style>
  <w:style w:styleId="BodyText" w:type="paragraph">
    <w:name w:val="Body Text"/>
    <w:basedOn w:val="Normal"/>
    <w:link w:val="BodyTextChar"/>
    <w:rsid w:val="00E7596C"/>
    <w:pPr>
      <w:tabs>
        <w:tab w:pos="288" w:val="left"/>
      </w:tabs>
      <w:spacing w:line="228" w:lineRule="auto"/>
    </w:pPr>
    <w:rPr>
      <w:spacing w:val="-1"/>
      <w:lang w:eastAsia="x-none" w:val="en-GB"/>
    </w:rPr>
  </w:style>
  <w:style w:customStyle="1" w:styleId="BodyTextChar" w:type="character">
    <w:name w:val="Body Text Char"/>
    <w:link w:val="BodyText"/>
    <w:rsid w:val="00E7596C"/>
    <w:rPr>
      <w:spacing w:val="-1"/>
      <w:lang w:eastAsia="x-none" w:val="en-GB"/>
    </w:rPr>
  </w:style>
  <w:style w:customStyle="1" w:styleId="bulletlist" w:type="paragraph">
    <w:name w:val="bullet list"/>
    <w:basedOn w:val="BodyText"/>
    <w:rsid w:val="001B67DC"/>
    <w:pPr>
      <w:numPr>
        <w:numId w:val="1"/>
      </w:numPr>
      <w:tabs>
        <w:tab w:pos="648" w:val="clear"/>
      </w:tabs>
      <w:ind w:hanging="288" w:left="576"/>
    </w:pPr>
  </w:style>
  <w:style w:customStyle="1" w:styleId="equation" w:type="paragraph">
    <w:name w:val="equation"/>
    <w:basedOn w:val="Normal"/>
    <w:rsid w:val="008A2C7D"/>
    <w:pPr>
      <w:tabs>
        <w:tab w:pos="2520" w:val="center"/>
        <w:tab w:pos="5040" w:val="right"/>
      </w:tabs>
      <w:spacing w:after="240" w:before="240" w:line="216" w:lineRule="auto"/>
    </w:pPr>
    <w:rPr>
      <w:rFonts w:ascii="Symbol" w:cs="Symbol" w:hAnsi="Symbol"/>
    </w:rPr>
  </w:style>
  <w:style w:customStyle="1" w:styleId="figurecaption" w:type="paragraph">
    <w:name w:val="figure caption"/>
    <w:rsid w:val="005B0344"/>
    <w:pPr>
      <w:numPr>
        <w:numId w:val="2"/>
      </w:numPr>
      <w:tabs>
        <w:tab w:pos="533" w:val="left"/>
      </w:tabs>
      <w:spacing w:after="200" w:before="80"/>
      <w:ind w:firstLine="0" w:left="0"/>
      <w:jc w:val="both"/>
    </w:pPr>
    <w:rPr>
      <w:noProof/>
      <w:sz w:val="16"/>
      <w:szCs w:val="16"/>
    </w:rPr>
  </w:style>
  <w:style w:customStyle="1" w:styleId="footnote" w:type="paragraph">
    <w:name w:val="footnote"/>
    <w:pPr>
      <w:framePr w:hAnchor="page" w:hSpace="187" w:vAnchor="text" w:vSpace="187" w:wrap="notBeside" w:x="6121" w:y="577"/>
      <w:numPr>
        <w:numId w:val="3"/>
      </w:numPr>
      <w:spacing w:after="40"/>
    </w:pPr>
    <w:rPr>
      <w:sz w:val="16"/>
      <w:szCs w:val="16"/>
    </w:rPr>
  </w:style>
  <w:style w:customStyle="1" w:styleId="papersubtitle" w:type="paragraph">
    <w:name w:val="paper subtitle"/>
    <w:pPr>
      <w:spacing w:after="120"/>
      <w:jc w:val="center"/>
    </w:pPr>
    <w:rPr>
      <w:rFonts w:eastAsia="MS Mincho"/>
      <w:noProof/>
      <w:sz w:val="28"/>
      <w:szCs w:val="28"/>
    </w:rPr>
  </w:style>
  <w:style w:customStyle="1" w:styleId="papertitle" w:type="paragraph">
    <w:name w:val="paper title"/>
    <w:link w:val="papertitleChar"/>
    <w:pPr>
      <w:spacing w:after="120"/>
      <w:jc w:val="center"/>
    </w:pPr>
    <w:rPr>
      <w:rFonts w:eastAsia="MS Mincho"/>
      <w:noProof/>
      <w:sz w:val="48"/>
      <w:szCs w:val="48"/>
    </w:rPr>
  </w:style>
  <w:style w:customStyle="1" w:styleId="references" w:type="paragraph">
    <w:name w:val="references"/>
    <w:pPr>
      <w:numPr>
        <w:numId w:val="8"/>
      </w:numPr>
      <w:spacing w:after="50" w:line="180" w:lineRule="exact"/>
      <w:jc w:val="both"/>
    </w:pPr>
    <w:rPr>
      <w:rFonts w:eastAsia="MS Mincho"/>
      <w:noProof/>
      <w:sz w:val="16"/>
      <w:szCs w:val="16"/>
    </w:rPr>
  </w:style>
  <w:style w:customStyle="1" w:styleId="sponsors" w:type="paragraph">
    <w:name w:val="sponsors"/>
    <w:pPr>
      <w:framePr w:hAnchor="text" w:wrap="auto" w:x="615" w:y="2239"/>
      <w:pBdr>
        <w:top w:color="auto" w:space="2" w:sz="4" w:val="single"/>
      </w:pBdr>
      <w:ind w:firstLine="288"/>
    </w:pPr>
    <w:rPr>
      <w:sz w:val="16"/>
      <w:szCs w:val="16"/>
    </w:rPr>
  </w:style>
  <w:style w:customStyle="1" w:styleId="tablecolhead" w:type="paragraph">
    <w:name w:val="table col head"/>
    <w:basedOn w:val="Normal"/>
    <w:rPr>
      <w:b/>
      <w:bCs/>
      <w:sz w:val="16"/>
      <w:szCs w:val="16"/>
    </w:rPr>
  </w:style>
  <w:style w:customStyle="1" w:styleId="tablecolsubhead" w:type="paragraph">
    <w:name w:val="table col subhead"/>
    <w:basedOn w:val="tablecolhead"/>
    <w:rPr>
      <w:i/>
      <w:iCs/>
      <w:sz w:val="15"/>
      <w:szCs w:val="15"/>
    </w:rPr>
  </w:style>
  <w:style w:customStyle="1" w:styleId="tablecopy" w:type="paragraph">
    <w:name w:val="table copy"/>
    <w:pPr>
      <w:jc w:val="both"/>
    </w:pPr>
    <w:rPr>
      <w:noProof/>
      <w:sz w:val="16"/>
      <w:szCs w:val="16"/>
    </w:rPr>
  </w:style>
  <w:style w:customStyle="1" w:styleId="tablefootnote" w:type="paragraph">
    <w:name w:val="table footnote"/>
    <w:rsid w:val="005E2800"/>
    <w:pPr>
      <w:numPr>
        <w:numId w:val="24"/>
      </w:numPr>
      <w:spacing w:after="30" w:before="60"/>
      <w:ind w:hanging="29" w:left="58"/>
      <w:jc w:val="right"/>
    </w:pPr>
    <w:rPr>
      <w:sz w:val="12"/>
      <w:szCs w:val="12"/>
    </w:rPr>
  </w:style>
  <w:style w:customStyle="1" w:styleId="tablehead" w:type="paragraph">
    <w:name w:val="table head"/>
    <w:pPr>
      <w:numPr>
        <w:numId w:val="9"/>
      </w:numPr>
      <w:spacing w:after="120" w:before="240" w:line="216" w:lineRule="auto"/>
      <w:jc w:val="center"/>
    </w:pPr>
    <w:rPr>
      <w:smallCaps/>
      <w:noProof/>
      <w:sz w:val="16"/>
      <w:szCs w:val="16"/>
    </w:rPr>
  </w:style>
  <w:style w:customStyle="1" w:styleId="Keywords" w:type="paragraph">
    <w:name w:val="Keywords"/>
    <w:basedOn w:val="Abstract"/>
    <w:qFormat/>
    <w:rsid w:val="00F9441B"/>
    <w:pPr>
      <w:spacing w:after="120"/>
      <w:ind w:firstLine="274"/>
    </w:pPr>
    <w:rPr>
      <w:i/>
    </w:rPr>
  </w:style>
  <w:style w:styleId="Header" w:type="paragraph">
    <w:name w:val="header"/>
    <w:basedOn w:val="Normal"/>
    <w:link w:val="HeaderChar"/>
    <w:rsid w:val="001A3B3D"/>
    <w:pPr>
      <w:tabs>
        <w:tab w:pos="4680" w:val="center"/>
        <w:tab w:pos="9360" w:val="right"/>
      </w:tabs>
    </w:pPr>
  </w:style>
  <w:style w:customStyle="1" w:styleId="HeaderChar" w:type="character">
    <w:name w:val="Header Char"/>
    <w:basedOn w:val="DefaultParagraphFont"/>
    <w:link w:val="Header"/>
    <w:rsid w:val="001A3B3D"/>
  </w:style>
  <w:style w:styleId="Footer" w:type="paragraph">
    <w:name w:val="footer"/>
    <w:basedOn w:val="Normal"/>
    <w:link w:val="FooterChar"/>
    <w:rsid w:val="001A3B3D"/>
    <w:pPr>
      <w:tabs>
        <w:tab w:pos="4680" w:val="center"/>
        <w:tab w:pos="9360" w:val="right"/>
      </w:tabs>
    </w:pPr>
  </w:style>
  <w:style w:customStyle="1" w:styleId="FooterChar" w:type="character">
    <w:name w:val="Footer Char"/>
    <w:basedOn w:val="DefaultParagraphFont"/>
    <w:link w:val="Footer"/>
    <w:rsid w:val="001A3B3D"/>
  </w:style>
  <w:style w:styleId="Hyperlink" w:type="character">
    <w:name w:val="Hyperlink"/>
    <w:basedOn w:val="DefaultParagraphFont"/>
    <w:rsid w:val="00156B74"/>
    <w:rPr>
      <w:color w:themeColor="hyperlink" w:val="0563C1"/>
      <w:u w:val="single"/>
    </w:rPr>
  </w:style>
  <w:style w:styleId="UnresolvedMention" w:type="character">
    <w:name w:val="Unresolved Mention"/>
    <w:basedOn w:val="DefaultParagraphFont"/>
    <w:uiPriority w:val="99"/>
    <w:semiHidden/>
    <w:unhideWhenUsed/>
    <w:rsid w:val="00156B74"/>
    <w:rPr>
      <w:color w:val="605E5C"/>
      <w:shd w:color="auto" w:fill="E1DFDD" w:val="clear"/>
    </w:rPr>
  </w:style>
  <w:style w:styleId="Title" w:type="paragraph">
    <w:name w:val="Title"/>
    <w:basedOn w:val="Normal"/>
    <w:next w:val="Normal"/>
    <w:link w:val="TitleChar"/>
    <w:qFormat/>
    <w:rsid w:val="00E41015"/>
    <w:pPr>
      <w:contextualSpacing/>
      <w:jc w:val="center"/>
    </w:pPr>
    <w:rPr>
      <w:rFonts w:eastAsiaTheme="majorEastAsia"/>
      <w:spacing w:val="-10"/>
      <w:kern w:val="28"/>
      <w:sz w:val="48"/>
      <w:szCs w:val="56"/>
    </w:rPr>
  </w:style>
  <w:style w:customStyle="1" w:styleId="TitleChar" w:type="character">
    <w:name w:val="Title Char"/>
    <w:basedOn w:val="DefaultParagraphFont"/>
    <w:link w:val="Title"/>
    <w:rsid w:val="00E41015"/>
    <w:rPr>
      <w:rFonts w:eastAsiaTheme="majorEastAsia"/>
      <w:spacing w:val="-10"/>
      <w:kern w:val="28"/>
      <w:sz w:val="48"/>
      <w:szCs w:val="56"/>
    </w:rPr>
  </w:style>
  <w:style w:styleId="Caption" w:type="paragraph">
    <w:name w:val="caption"/>
    <w:basedOn w:val="Normal"/>
    <w:next w:val="Normal"/>
    <w:semiHidden/>
    <w:unhideWhenUsed/>
    <w:qFormat/>
    <w:rsid w:val="00E41015"/>
    <w:pPr>
      <w:spacing w:after="200" w:before="80"/>
    </w:pPr>
    <w:rPr>
      <w:iCs/>
      <w:color w:themeColor="text2" w:val="44546A"/>
      <w:sz w:val="16"/>
      <w:szCs w:val="18"/>
    </w:rPr>
  </w:style>
  <w:style w:customStyle="1" w:styleId="SourceCode" w:type="paragraph">
    <w:name w:val="Source Code"/>
    <w:basedOn w:val="papertitle"/>
    <w:link w:val="SourceCodeChar"/>
    <w:rsid w:val="00E41015"/>
    <w:pPr>
      <w:spacing w:after="0" w:afterAutospacing="1" w:beforeAutospacing="1"/>
      <w:jc w:val="left"/>
    </w:pPr>
    <w:rPr>
      <w:rFonts w:ascii="Courier New" w:cs="Courier New" w:hAnsi="Courier New"/>
      <w:sz w:val="14"/>
    </w:rPr>
  </w:style>
  <w:style w:customStyle="1" w:styleId="papertitleChar" w:type="character">
    <w:name w:val="paper title Char"/>
    <w:basedOn w:val="DefaultParagraphFont"/>
    <w:link w:val="papertitle"/>
    <w:rsid w:val="00E41015"/>
    <w:rPr>
      <w:rFonts w:eastAsia="MS Mincho"/>
      <w:noProof/>
      <w:sz w:val="48"/>
      <w:szCs w:val="48"/>
    </w:rPr>
  </w:style>
  <w:style w:customStyle="1" w:styleId="SourceCodeChar" w:type="character">
    <w:name w:val="Source Code Char"/>
    <w:basedOn w:val="papertitleChar"/>
    <w:link w:val="SourceCode"/>
    <w:rsid w:val="00E41015"/>
    <w:rPr>
      <w:rFonts w:ascii="Courier New" w:cs="Courier New" w:eastAsia="MS Mincho" w:hAnsi="Courier New"/>
      <w:noProof/>
      <w:sz w:val="14"/>
      <w:szCs w:val="48"/>
    </w:rPr>
  </w:style>
  <w:style w:customStyle="1" w:styleId="Table" w:type="table">
    <w:name w:val="Table"/>
    <w:basedOn w:val="TableNormal"/>
    <w:rsid w:val="00E41015"/>
    <w:rPr>
      <w:sz w:val="16"/>
    </w:rPr>
    <w:tblPr/>
  </w:style>
  <w:style w:styleId="Bibliography" w:type="paragraph">
    <w:name w:val="Bibliography"/>
    <w:basedOn w:val="Normal"/>
    <w:next w:val="Normal"/>
    <w:uiPriority w:val="37"/>
    <w:semiHidden/>
    <w:unhideWhenUsed/>
    <w:rsid w:val="00E41015"/>
    <w:pPr>
      <w:spacing w:after="50"/>
      <w:ind w:firstLine="0"/>
    </w:pPr>
    <w:rPr>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36" Target="https://otexts.com/fpp3/" TargetMode="External" /><Relationship Type="http://schemas.openxmlformats.org/officeDocument/2006/relationships/hyperlink" Id="rId34" Target="https://pkg.robjhyndman.com/forecast/reference/checkresiduals.html" TargetMode="External" /><Relationship Type="http://schemas.openxmlformats.org/officeDocument/2006/relationships/hyperlink" Id="rId38" Target="https://power.larc.nasa.gov/docs/services/api/temporal/monthly/" TargetMode="External" /></Relationships>
</file>

<file path=word/_rels/footnotes.xml.rels><?xml version="1.0" encoding="UTF-8"?><Relationships xmlns="http://schemas.openxmlformats.org/package/2006/relationships"><Relationship Type="http://schemas.openxmlformats.org/officeDocument/2006/relationships/hyperlink" Id="rId36" Target="https://otexts.com/fpp3/" TargetMode="External" /><Relationship Type="http://schemas.openxmlformats.org/officeDocument/2006/relationships/hyperlink" Id="rId34" Target="https://pkg.robjhyndman.com/forecast/reference/checkresiduals.html" TargetMode="External" /><Relationship Type="http://schemas.openxmlformats.org/officeDocument/2006/relationships/hyperlink" Id="rId38" Target="https://power.larc.nasa.gov/docs/services/api/temporal/monthl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2275</Words>
  <Characters>12971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Monthly Solar Irradiance in Kuala Lumpur</dc:title>
  <dc:creator/>
  <dc:language>en-GB</dc:language>
  <cp:keywords/>
  <dcterms:created xsi:type="dcterms:W3CDTF">2026-09-04T07:28:13Z</dcterms:created>
  <dcterms:modified xsi:type="dcterms:W3CDTF">2026-09-04T07:28:13Z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apa.csl</vt:lpwstr>
  </property>
  <property fmtid="{D5CDD505-2E9C-101B-9397-08002B2CF9AE}" pid="4" name="link-citations">
    <vt:lpwstr>False</vt:lpwstr>
  </property>
  <property fmtid="{D5CDD505-2E9C-101B-9397-08002B2CF9AE}" pid="5" name="number-sections">
    <vt:lpwstr>False</vt:lpwstr>
  </property>
  <property fmtid="{D5CDD505-2E9C-101B-9397-08002B2CF9AE}" pid="6" name="table-caption-position">
    <vt:lpwstr>above</vt:lpwstr>
  </property>
</Properties>
</file>