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6.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Forecasting Monthly Solar Irradiance in Kuala Lumpur</w:t>
      </w:r>
    </w:p>
    <w:p>
      <w:pPr>
        <w:pStyle w:val="Author"/>
      </w:pPr>
      <w:r>
        <w:t xml:space="preserve">[Member 2 name]</w:t>
      </w:r>
    </w:p>
    <w:p>
      <w:pPr>
        <w:pStyle w:val="Affiliation"/>
      </w:pPr>
      <w:r>
        <w:t xml:space="preserve">[University and faculty]</w:t>
      </w:r>
      <w:r>
        <w:br/>
      </w:r>
      <w:r>
        <w:t xml:space="preserve">BMMS2094 Statistics for Data Science · Student ID: [ID] · Tutorial/Group: [Identifier]</w:t>
      </w:r>
      <w:r>
        <w:br/>
      </w:r>
      <w:r>
        <w:t xml:space="preserve">Assigned model: Additive Holt–Winters · Submission date: [DD Month YYYY]</w:t>
      </w:r>
    </w:p>
    <w:p>
      <w:pPr>
        <w:sectPr>
          <w:type w:val="continuous"/>
          <w:pgSz w:w="12240" w:h="15840"/>
          <w:pgMar w:top="1080" w:right="893" w:bottom="1440" w:left="893" w:header="720" w:footer="720" w:gutter="0"/>
          <w:cols w:num="1" w:space="720"/>
          <w:docGrid w:linePitch="360"/>
        </w:sectPr>
      </w:pPr>
    </w:p>
    <w:bookmarkStart w:id="22" w:name="methodology"/>
    <w:p>
      <w:pPr>
        <w:pStyle w:val="Heading1"/>
      </w:pPr>
      <w:r>
        <w:t xml:space="preserve">Methodology</w:t>
      </w:r>
    </w:p>
    <w:p>
      <w:pPr>
        <w:pStyle w:val="FirstParagraph"/>
      </w:pPr>
      <w:r>
        <w:t xml:space="preserve">This report proposes evaluating Holt–Winters exponential smoothing for monthly NASA POWER solar irradiance in Kuala Lumpur</w:t>
      </w:r>
      <w:r>
        <w:t xml:space="preserve"> </w:t>
      </w:r>
      <w:r>
        <w:t xml:space="preserve">(NASA Prediction Of Worldwide Energy Resources, n.d.)</w:t>
      </w:r>
      <w:r>
        <w:t xml:space="preserve">. The method recursively updates level and month-specific seasonal states; a trend state is optional. Additive and multiplicative seasonality would be considered according to whether seasonal amplitude was stable in absolute units or proportional to the series level</w:t>
      </w:r>
      <w:r>
        <w:t xml:space="preserve"> </w:t>
      </w:r>
      <w:r>
        <w:t xml:space="preserve">(Hyndman &amp; Athanasopoulos, 2021)</w:t>
      </w:r>
      <w:r>
        <w:t xml:space="preserve">.</w:t>
      </w:r>
    </w:p>
    <w:p>
      <w:pPr>
        <w:pStyle w:val="BodyText"/>
      </w:pPr>
      <w:r>
        <w:t xml:space="preserve">An 80:20 chronological split would use January 2001–December 2020 for training and January 2021–December 2025 for testing; chronological order would prevent future leakage. The need for transformation would be assessed from training diagnostics only, with response-scale modelling preferred for interpretability and direct reporting of errors when transformation was unnecessary.</w:t>
      </w:r>
    </w:p>
    <w:p>
      <w:pPr>
        <w:pStyle w:val="BodyText"/>
      </w:pPr>
      <w:r>
        <w:t xml:space="preserve">Training plots and training-only decomposition would inform the seasonal form and whether a trend component was warranted. Additive and multiplicative seasonality, and models with or without trend smoothing, would be the structural alternatives. Additive seasonality would be retained only when seasonal amplitude was approximately constant in response units; multiplicative seasonality would require amplitude proportional to level. Setting</w:t>
      </w:r>
      <w:r>
        <w:t xml:space="preserve"> </w:t>
      </w:r>
      <w:r>
        <w:rPr>
          <w:rStyle w:val="VerbatimChar"/>
        </w:rPr>
        <w:t xml:space="preserve">beta=FALSE</w:t>
      </w:r>
      <w:r>
        <w:t xml:space="preserve"> </w:t>
      </w:r>
      <w:r>
        <w:t xml:space="preserve">would be treated as a deliberate modification and used only when training evidence did not support persistent trend extrapolation. Because decomposition would be descriptive and additive in form, these decisions would also use the original training plot, variance evidence, coefficient uncertainty, and candidate behaviour. R would optimise the applicable smoothing coefficients by minimising one-step squared errors; α and γ would therefore be fitted rather than manually selected.</w:t>
      </w:r>
    </w:p>
    <w:p>
      <w:pPr>
        <w:pStyle w:val="BodyText"/>
      </w:pPr>
      <w:r>
        <w:t xml:space="preserve">Response residuals would be inspected over time and by ACF, followed by a lag-24 Ljung–Box test with the appropriate fitted degrees of freedom</w:t>
      </w:r>
      <w:r>
        <w:t xml:space="preserve"> </w:t>
      </w:r>
      <w:r>
        <w:t xml:space="preserve">(Hyndman, n.d.)</w:t>
      </w:r>
      <w:r>
        <w:t xml:space="preserve">. Material remaining autocorrelation would trigger reconsideration of the specification. After the model had been locked, training and test performance would be reported consistently using ME, MSE, RMSE, MAE, MPE, and MAPE, together with each test-minus-training difference. ME and MPE would be judged by closeness to zero and sign; the remaining error measures would be minimised.</w:t>
      </w:r>
    </w:p>
    <w:bookmarkEnd w:id="22"/>
    <w:bookmarkStart w:id="26" w:name="data-analysis-results-and-discussion"/>
    <w:p>
      <w:pPr>
        <w:pStyle w:val="Heading1"/>
      </w:pPr>
      <w:r>
        <w:t xml:space="preserve">Data Analysis (Results and Discussion)</w:t>
      </w:r>
    </w:p>
    <w:p>
      <w:pPr>
        <w:pStyle w:val="FirstParagraph"/>
      </w:pPr>
      <w:r>
        <w:rPr>
          <w:b/>
          <w:bCs/>
        </w:rPr>
        <w:t xml:space="preserve">Training evidence and model identification—</w:t>
      </w:r>
      <w:r>
        <w:t xml:space="preserve">Training-only decomposition indicated a strong annual component with broadly stable absolute amplitude and only modest long-term movement. The training regression trend was also small and uncertain (+0.000381 per month,</w:t>
      </w:r>
      <w:r>
        <w:t xml:space="preserve"> </w:t>
      </w:r>
      <m:oMath>
        <m:r>
          <m:t>p</m:t>
        </m:r>
        <m:r>
          <m:rPr>
            <m:sty m:val="p"/>
          </m:rPr>
          <m:t>=</m:t>
        </m:r>
        <m:r>
          <m:t>0.148</m:t>
        </m:r>
      </m:oMath>
      <w:r>
        <w:t xml:space="preserve">). Stable absolute amplitude supported additive rather than multiplicative seasonality and retention of the response scale. Modest and uncertain movement supported the deliberate</w:t>
      </w:r>
      <w:r>
        <w:t xml:space="preserve"> </w:t>
      </w:r>
      <w:r>
        <w:rPr>
          <w:rStyle w:val="VerbatimChar"/>
        </w:rPr>
        <w:t xml:space="preserve">beta=FALSE</w:t>
      </w:r>
      <w:r>
        <w:t xml:space="preserve"> </w:t>
      </w:r>
      <w:r>
        <w:t xml:space="preserve">restriction because omitting trend smoothing avoids an unsupported five-year trend extrapolation. These training-only reasons, rather than defaults, established</w:t>
      </w:r>
      <w:r>
        <w:t xml:space="preserve"> </w:t>
      </w:r>
      <w:r>
        <w:rPr>
          <w:rStyle w:val="VerbatimChar"/>
        </w:rPr>
        <w:t xml:space="preserve">HoltWinters(train, beta=FALSE, seasonal="additive")</w:t>
      </w:r>
      <w:r>
        <w:t xml:space="preserve">; a trend-enabled candidate remains an appropriate sensitivity check.</w:t>
      </w:r>
    </w:p>
    <w:p>
      <w:pPr>
        <w:pStyle w:val="BodyText"/>
      </w:pPr>
      <w:r>
        <w:t xml:space="preserve">Given the locked structure, R minimised one-step squared errors and jointly fitted α=0.0273 and γ=0.1366; these values were optimised rather than manually chosen. The small α gives limited weight to the newest level error, producing a stable but slowly adapting level. The larger γ allows the monthly seasonal states to update more readily. β was not estimated because trend smoothing was deliberately disabled on the evidence above. Lag 24 checks two annual cycles, and the two fitted smoothing coefficients were deducted for the Ljung–Box test. The result was</w:t>
      </w:r>
      <w:r>
        <w:t xml:space="preserve"> </w:t>
      </w:r>
      <m:oMath>
        <m:r>
          <m:t>Q</m:t>
        </m:r>
        <m:r>
          <m:rPr>
            <m:sty m:val="p"/>
          </m:rPr>
          <m:t>=</m:t>
        </m:r>
        <m:r>
          <m:t>28.852</m:t>
        </m:r>
      </m:oMath>
      <w:r>
        <w:t xml:space="preserve">,</w:t>
      </w:r>
      <w:r>
        <w:t xml:space="preserve"> </w:t>
      </w:r>
      <m:oMath>
        <m:r>
          <m:t>p</m:t>
        </m:r>
        <m:r>
          <m:rPr>
            <m:sty m:val="p"/>
          </m:rPr>
          <m:t>=</m:t>
        </m:r>
        <m:r>
          <m:t>0.149</m:t>
        </m:r>
      </m:oMath>
      <w:r>
        <w:t xml:space="preserve">, so no diagnostic loop-back was required.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jc w:val="right"/>
            </w:pPr>
            <w:r>
              <w:t xml:space="preserve">Training</w:t>
            </w:r>
          </w:p>
        </w:tc>
        <w:tc>
          <w:tcPr/>
          <w:p>
            <w:pPr>
              <w:pStyle w:val="Compact"/>
              <w:jc w:val="right"/>
            </w:pPr>
            <w:r>
              <w:t xml:space="preserve">Test</w:t>
            </w:r>
          </w:p>
        </w:tc>
        <w:tc>
          <w:tcPr/>
          <w:p>
            <w:pPr>
              <w:pStyle w:val="Compact"/>
              <w:jc w:val="right"/>
            </w:pPr>
            <w:r>
              <w:t xml:space="preserve">Test − training</w:t>
            </w:r>
          </w:p>
        </w:tc>
      </w:tr>
      <w:tr>
        <w:tc>
          <w:tcPr/>
          <w:p>
            <w:pPr>
              <w:pStyle w:val="Compact"/>
            </w:pPr>
            <w:r>
              <w:t xml:space="preserve">ME (kWh/m²/day)</w:t>
            </w:r>
          </w:p>
        </w:tc>
        <w:tc>
          <w:tcPr/>
          <w:p>
            <w:pPr>
              <w:pStyle w:val="Compact"/>
              <w:jc w:val="right"/>
            </w:pPr>
            <w:r>
              <w:t xml:space="preserve">−0.0066</w:t>
            </w:r>
          </w:p>
        </w:tc>
        <w:tc>
          <w:tcPr/>
          <w:p>
            <w:pPr>
              <w:pStyle w:val="Compact"/>
              <w:jc w:val="right"/>
            </w:pPr>
            <w:r>
              <w:t xml:space="preserve">−0.1037</w:t>
            </w:r>
          </w:p>
        </w:tc>
        <w:tc>
          <w:tcPr/>
          <w:p>
            <w:pPr>
              <w:pStyle w:val="Compact"/>
              <w:jc w:val="right"/>
            </w:pPr>
            <w:r>
              <w:t xml:space="preserve">−0.0970</w:t>
            </w:r>
          </w:p>
        </w:tc>
      </w:tr>
      <w:tr>
        <w:tc>
          <w:tcPr/>
          <w:p>
            <w:pPr>
              <w:pStyle w:val="Compact"/>
            </w:pPr>
            <w:r>
              <w:t xml:space="preserve">MSE ((kWh/m²/day)²)</w:t>
            </w:r>
          </w:p>
        </w:tc>
        <w:tc>
          <w:tcPr/>
          <w:p>
            <w:pPr>
              <w:pStyle w:val="Compact"/>
              <w:jc w:val="right"/>
            </w:pPr>
            <w:r>
              <w:t xml:space="preserve">0.0907</w:t>
            </w:r>
          </w:p>
        </w:tc>
        <w:tc>
          <w:tcPr/>
          <w:p>
            <w:pPr>
              <w:pStyle w:val="Compact"/>
              <w:jc w:val="right"/>
            </w:pPr>
            <w:r>
              <w:t xml:space="preserve">0.0962</w:t>
            </w:r>
          </w:p>
        </w:tc>
        <w:tc>
          <w:tcPr/>
          <w:p>
            <w:pPr>
              <w:pStyle w:val="Compact"/>
              <w:jc w:val="right"/>
            </w:pPr>
            <w:r>
              <w:t xml:space="preserve">0.0055</w:t>
            </w:r>
          </w:p>
        </w:tc>
      </w:tr>
      <w:tr>
        <w:tc>
          <w:tcPr/>
          <w:p>
            <w:pPr>
              <w:pStyle w:val="Compact"/>
            </w:pPr>
            <w:r>
              <w:t xml:space="preserve">RMSE (kWh/m²/day)</w:t>
            </w:r>
          </w:p>
        </w:tc>
        <w:tc>
          <w:tcPr/>
          <w:p>
            <w:pPr>
              <w:pStyle w:val="Compact"/>
              <w:jc w:val="right"/>
            </w:pPr>
            <w:r>
              <w:t xml:space="preserve">0.3012</w:t>
            </w:r>
          </w:p>
        </w:tc>
        <w:tc>
          <w:tcPr/>
          <w:p>
            <w:pPr>
              <w:pStyle w:val="Compact"/>
              <w:jc w:val="right"/>
            </w:pPr>
            <w:r>
              <w:t xml:space="preserve">0.3101</w:t>
            </w:r>
          </w:p>
        </w:tc>
        <w:tc>
          <w:tcPr/>
          <w:p>
            <w:pPr>
              <w:pStyle w:val="Compact"/>
              <w:jc w:val="right"/>
            </w:pPr>
            <w:r>
              <w:t xml:space="preserve">0.0089</w:t>
            </w:r>
          </w:p>
        </w:tc>
      </w:tr>
      <w:tr>
        <w:tc>
          <w:tcPr/>
          <w:p>
            <w:pPr>
              <w:pStyle w:val="Compact"/>
            </w:pPr>
            <w:r>
              <w:t xml:space="preserve">MAE (kWh/m²/day)</w:t>
            </w:r>
          </w:p>
        </w:tc>
        <w:tc>
          <w:tcPr/>
          <w:p>
            <w:pPr>
              <w:pStyle w:val="Compact"/>
              <w:jc w:val="right"/>
            </w:pPr>
            <w:r>
              <w:t xml:space="preserve">0.2328</w:t>
            </w:r>
          </w:p>
        </w:tc>
        <w:tc>
          <w:tcPr/>
          <w:p>
            <w:pPr>
              <w:pStyle w:val="Compact"/>
              <w:jc w:val="right"/>
            </w:pPr>
            <w:r>
              <w:t xml:space="preserve">0.2464</w:t>
            </w:r>
          </w:p>
        </w:tc>
        <w:tc>
          <w:tcPr/>
          <w:p>
            <w:pPr>
              <w:pStyle w:val="Compact"/>
              <w:jc w:val="right"/>
            </w:pPr>
            <w:r>
              <w:t xml:space="preserve">0.0136</w:t>
            </w:r>
          </w:p>
        </w:tc>
      </w:tr>
      <w:tr>
        <w:tc>
          <w:tcPr/>
          <w:p>
            <w:pPr>
              <w:pStyle w:val="Compact"/>
            </w:pPr>
            <w:r>
              <w:t xml:space="preserve">MPE</w:t>
            </w:r>
          </w:p>
        </w:tc>
        <w:tc>
          <w:tcPr/>
          <w:p>
            <w:pPr>
              <w:pStyle w:val="Compact"/>
              <w:jc w:val="right"/>
            </w:pPr>
            <w:r>
              <w:t xml:space="preserve">−0.4490%</w:t>
            </w:r>
          </w:p>
        </w:tc>
        <w:tc>
          <w:tcPr/>
          <w:p>
            <w:pPr>
              <w:pStyle w:val="Compact"/>
              <w:jc w:val="right"/>
            </w:pPr>
            <w:r>
              <w:t xml:space="preserve">−2.4553%</w:t>
            </w:r>
          </w:p>
        </w:tc>
        <w:tc>
          <w:tcPr/>
          <w:p>
            <w:pPr>
              <w:pStyle w:val="Compact"/>
              <w:jc w:val="right"/>
            </w:pPr>
            <w:r>
              <w:t xml:space="preserve">−2.0064 pp</w:t>
            </w:r>
          </w:p>
        </w:tc>
      </w:tr>
      <w:tr>
        <w:tc>
          <w:tcPr/>
          <w:p>
            <w:pPr>
              <w:pStyle w:val="Compact"/>
            </w:pPr>
            <w:r>
              <w:t xml:space="preserve">MAPE</w:t>
            </w:r>
          </w:p>
        </w:tc>
        <w:tc>
          <w:tcPr/>
          <w:p>
            <w:pPr>
              <w:pStyle w:val="Compact"/>
              <w:jc w:val="right"/>
            </w:pPr>
            <w:r>
              <w:t xml:space="preserve">4.9544%</w:t>
            </w:r>
          </w:p>
        </w:tc>
        <w:tc>
          <w:tcPr/>
          <w:p>
            <w:pPr>
              <w:pStyle w:val="Compact"/>
              <w:jc w:val="right"/>
            </w:pPr>
            <w:r>
              <w:t xml:space="preserve">5.2213%</w:t>
            </w:r>
          </w:p>
        </w:tc>
        <w:tc>
          <w:tcPr/>
          <w:p>
            <w:pPr>
              <w:pStyle w:val="Compact"/>
              <w:jc w:val="right"/>
            </w:pPr>
            <w:r>
              <w:t xml:space="preserve">0.2668 pp</w:t>
            </w:r>
          </w:p>
        </w:tc>
      </w:tr>
    </w:tbl>
    <w:p>
      <w:pPr>
        <w:pStyle w:val="BodyText"/>
      </w:pPr>
      <w:r>
        <w:t xml:space="preserve">The lag-24 Ljung–Box p-value was 0.1491. The negative test ME and MPE indicate average overforecasting under the</w:t>
      </w:r>
      <w:r>
        <w:t xml:space="preserve"> </w:t>
      </w:r>
      <w:r>
        <w:rPr>
          <w:rStyle w:val="VerbatimChar"/>
        </w:rPr>
        <w:t xml:space="preserve">actual − forecast</w:t>
      </w:r>
      <w:r>
        <w:t xml:space="preserve"> </w:t>
      </w:r>
      <w:r>
        <w:t xml:space="preserve">convention. Training–test differences are descriptive because fitted residuals and multi-step holdout errors come from different evaluation settings.</w:t>
      </w:r>
    </w:p>
    <w:p>
      <w:pPr>
        <w:pStyle w:val="CaptionedFigure"/>
      </w:pPr>
      <w:r>
        <w:drawing>
          <wp:inline>
            <wp:extent cx="2926080" cy="1645920"/>
            <wp:effectExtent b="0" l="0" r="0" t="0"/>
            <wp:docPr descr="Holt–Winters test forecasts with 95% intervals." title="" id="24" name="Picture"/>
            <a:graphic>
              <a:graphicData uri="http://schemas.openxmlformats.org/drawingml/2006/picture">
                <pic:pic>
                  <pic:nvPicPr>
                    <pic:cNvPr descr="../analysis_outputs/nasa/figures/nasa_holt_winters_test_forecast.png" id="25" name="Picture"/>
                    <pic:cNvPicPr>
                      <a:picLocks noChangeArrowheads="1" noChangeAspect="1"/>
                    </pic:cNvPicPr>
                  </pic:nvPicPr>
                  <pic:blipFill>
                    <a:blip r:embed="rId23"/>
                    <a:stretch>
                      <a:fillRect/>
                    </a:stretch>
                  </pic:blipFill>
                  <pic:spPr bwMode="auto">
                    <a:xfrm>
                      <a:off x="0" y="0"/>
                      <a:ext cx="2926080" cy="1645920"/>
                    </a:xfrm>
                    <a:prstGeom prst="rect">
                      <a:avLst/>
                    </a:prstGeom>
                    <a:noFill/>
                    <a:ln w="9525">
                      <a:noFill/>
                      <a:headEnd/>
                      <a:tailEnd/>
                    </a:ln>
                  </pic:spPr>
                </pic:pic>
              </a:graphicData>
            </a:graphic>
          </wp:inline>
        </w:drawing>
      </w:r>
    </w:p>
    <w:p>
      <w:pPr>
        <w:pStyle w:val="ImageCaption"/>
      </w:pPr>
      <w:r>
        <w:t xml:space="preserve">Holt–Winters test forecasts with 95% intervals.</w:t>
      </w:r>
    </w:p>
    <w:p>
      <w:pPr>
        <w:pStyle w:val="BodyText"/>
      </w:pPr>
      <w:r>
        <w:t xml:space="preserve">Holt–Winters reproduced the annual cycle, yielded non-negative point forecasts, passed residual diagnostics, and achieved test RMSE 0.3101. Slow adaptation helps suppress noise but may lag changes over a five-year forecast; fixed additive seasonality can also be restrictive. Conversely, the method is transparent and computationally simple.</w:t>
      </w:r>
    </w:p>
    <w:bookmarkEnd w:id="26"/>
    <w:bookmarkStart w:id="27" w:name="conclusion"/>
    <w:p>
      <w:pPr>
        <w:pStyle w:val="Heading1"/>
      </w:pPr>
      <w:r>
        <w:t xml:space="preserve">Conclusion</w:t>
      </w:r>
    </w:p>
    <w:p>
      <w:pPr>
        <w:pStyle w:val="FirstParagraph"/>
      </w:pPr>
      <w:r>
        <w:t xml:space="preserve">The no-trend additive Holt–Winters model is statistically acceptable for this test period: RMSE was 0.3101, MAE was 0.2464, and the lag-24 Ljung–Box test did not reject residual white noise. Its evidence-based seasonal form is transparent, but the small fitted α may adapt slowly to structural change and the no-trend restriction requires sensitivity checking. Future work should compare a damped-trend candidate, consider multiplicative seasonality only if variance scales with level, and add transformation and rolling-origin checks. The forecast describes solar-resource availability, not electricity production without engineering conversion factors.</w:t>
      </w:r>
    </w:p>
    <w:bookmarkEnd w:id="27"/>
    <w:bookmarkStart w:id="35" w:name="references"/>
    <w:p>
      <w:pPr>
        <w:pStyle w:val="Heading1"/>
      </w:pPr>
      <w:r>
        <w:t xml:space="preserve">References</w:t>
      </w:r>
    </w:p>
    <w:bookmarkStart w:id="34" w:name="refs"/>
    <w:bookmarkStart w:id="29" w:name="ref-forecast-checkresiduals"/>
    <w:p>
      <w:pPr>
        <w:pStyle w:val="Bibliography"/>
      </w:pPr>
      <w:r>
        <w:t xml:space="preserve">Hyndman, R. J. (n.d.).</w:t>
      </w:r>
      <w:r>
        <w:t xml:space="preserve"> </w:t>
      </w:r>
      <w:r>
        <w:rPr>
          <w:i/>
          <w:iCs/>
        </w:rPr>
        <w:t xml:space="preserve">Check that residuals from a time series model look like white noise</w:t>
      </w:r>
      <w:r>
        <w:t xml:space="preserve">. Retrieved 1 September 2026, from</w:t>
      </w:r>
      <w:r>
        <w:t xml:space="preserve"> </w:t>
      </w:r>
      <w:hyperlink r:id="rId28">
        <w:r>
          <w:rPr>
            <w:rStyle w:val="Hyperlink"/>
          </w:rPr>
          <w:t xml:space="preserve">https://pkg.robjhyndman.com/forecast/reference/checkresiduals.html</w:t>
        </w:r>
      </w:hyperlink>
    </w:p>
    <w:bookmarkEnd w:id="29"/>
    <w:bookmarkStart w:id="31" w:name="ref-hyndman-athanasopoulos-2021"/>
    <w:p>
      <w:pPr>
        <w:pStyle w:val="Bibliography"/>
      </w:pPr>
      <w:r>
        <w:t xml:space="preserve">Hyndman, R. J., &amp; Athanasopoulos, G. (2021).</w:t>
      </w:r>
      <w:r>
        <w:t xml:space="preserve"> </w:t>
      </w:r>
      <w:r>
        <w:rPr>
          <w:i/>
          <w:iCs/>
        </w:rPr>
        <w:t xml:space="preserve">Forecasting: Principles and practice</w:t>
      </w:r>
      <w:r>
        <w:t xml:space="preserve"> </w:t>
      </w:r>
      <w:r>
        <w:t xml:space="preserve">(3rd edn). OTexts.</w:t>
      </w:r>
      <w:r>
        <w:t xml:space="preserve"> </w:t>
      </w:r>
      <w:hyperlink r:id="rId30">
        <w:r>
          <w:rPr>
            <w:rStyle w:val="Hyperlink"/>
          </w:rPr>
          <w:t xml:space="preserve">https://otexts.com/fpp3/</w:t>
        </w:r>
      </w:hyperlink>
    </w:p>
    <w:bookmarkEnd w:id="31"/>
    <w:bookmarkStart w:id="33" w:name="ref-nasa-power-monthly"/>
    <w:p>
      <w:pPr>
        <w:pStyle w:val="Bibliography"/>
      </w:pPr>
      <w:r>
        <w:t xml:space="preserve">NASA Prediction Of Worldwide Energy Resources. (n.d.).</w:t>
      </w:r>
      <w:r>
        <w:t xml:space="preserve"> </w:t>
      </w:r>
      <w:r>
        <w:rPr>
          <w:i/>
          <w:iCs/>
        </w:rPr>
        <w:t xml:space="preserve">Monthly and annual API</w:t>
      </w:r>
      <w:r>
        <w:t xml:space="preserve">. Retrieved 1 September 2026, from</w:t>
      </w:r>
      <w:r>
        <w:t xml:space="preserve"> </w:t>
      </w:r>
      <w:hyperlink r:id="rId32">
        <w:r>
          <w:rPr>
            <w:rStyle w:val="Hyperlink"/>
          </w:rPr>
          <w:t xml:space="preserve">https://power.larc.nasa.gov/docs/services/api/temporal/monthly/</w:t>
        </w:r>
      </w:hyperlink>
    </w:p>
    <w:bookmarkEnd w:id="33"/>
    <w:bookmarkEnd w:id="34"/>
    <w:bookmarkEnd w:id="35"/>
    <w:bookmarkStart w:id="40" w:name="appendix"/>
    <w:p>
      <w:pPr>
        <w:pStyle w:val="Heading1"/>
      </w:pPr>
      <w:r>
        <w:t xml:space="preserve">Appendix</w:t>
      </w:r>
    </w:p>
    <w:bookmarkStart w:id="39" w:name="appendix-a-reproducible-holtwinters-code"/>
    <w:p>
      <w:pPr>
        <w:pStyle w:val="Heading2"/>
      </w:pPr>
      <w:r>
        <w:t xml:space="preserve">Appendix A: Reproducible Holt–Winters Code</w:t>
      </w:r>
    </w:p>
    <w:p>
      <w:pPr>
        <w:pStyle w:val="FirstParagraph"/>
      </w:pPr>
      <w:r>
        <w:t xml:space="preserve">Canonical source:</w:t>
      </w:r>
      <w:r>
        <w:t xml:space="preserve"> </w:t>
      </w:r>
      <w:r>
        <w:rPr>
          <w:rStyle w:val="VerbatimChar"/>
        </w:rPr>
        <w:t xml:space="preserve">../NASA_Solar_Irradiance_Forecasting.R</w:t>
      </w:r>
      <w:r>
        <w:t xml:space="preserve">. No random procedure is used.</w:t>
      </w:r>
    </w:p>
    <w:p>
      <w:pPr>
        <w:pStyle w:val="CaptionedFigure"/>
      </w:pPr>
      <w:r>
        <w:drawing>
          <wp:inline>
            <wp:extent cx="2926080" cy="1645920"/>
            <wp:effectExtent b="0" l="0" r="0" t="0"/>
            <wp:docPr descr="Holt–Winters training response residuals and residual ACF." title="" id="37" name="Picture"/>
            <a:graphic>
              <a:graphicData uri="http://schemas.openxmlformats.org/drawingml/2006/picture">
                <pic:pic>
                  <pic:nvPicPr>
                    <pic:cNvPr descr="../analysis_outputs/nasa/figures/nasa_holt_winters_diagnostics.png" id="38" name="Picture"/>
                    <pic:cNvPicPr>
                      <a:picLocks noChangeArrowheads="1" noChangeAspect="1"/>
                    </pic:cNvPicPr>
                  </pic:nvPicPr>
                  <pic:blipFill>
                    <a:blip r:embed="rId36"/>
                    <a:stretch>
                      <a:fillRect/>
                    </a:stretch>
                  </pic:blipFill>
                  <pic:spPr bwMode="auto">
                    <a:xfrm>
                      <a:off x="0" y="0"/>
                      <a:ext cx="2926080" cy="1645920"/>
                    </a:xfrm>
                    <a:prstGeom prst="rect">
                      <a:avLst/>
                    </a:prstGeom>
                    <a:noFill/>
                    <a:ln w="9525">
                      <a:noFill/>
                      <a:headEnd/>
                      <a:tailEnd/>
                    </a:ln>
                  </pic:spPr>
                </pic:pic>
              </a:graphicData>
            </a:graphic>
          </wp:inline>
        </w:drawing>
      </w:r>
    </w:p>
    <w:p>
      <w:pPr>
        <w:pStyle w:val="ImageCaption"/>
      </w:pPr>
      <w:r>
        <w:t xml:space="preserve">Holt–Winters training response residuals and residual ACF.</w:t>
      </w:r>
    </w:p>
    <w:p>
      <w:pPr>
        <w:pStyle w:val="SourceCode"/>
      </w:pPr>
      <w:r>
        <w:rPr>
          <w:rStyle w:val="VerbatimChar"/>
        </w:rPr>
        <w:t xml:space="preserve">train &lt;- window(series, end = c(2020, 12))</w:t>
      </w:r>
      <w:r>
        <w:br/>
      </w:r>
      <w:r>
        <w:rPr>
          <w:rStyle w:val="VerbatimChar"/>
        </w:rPr>
        <w:t xml:space="preserve">test  &lt;- window(series, start = c(2021, 1))</w:t>
      </w:r>
      <w:r>
        <w:br/>
      </w:r>
      <w:r>
        <w:br/>
      </w:r>
      <w:r>
        <w:rPr>
          <w:rStyle w:val="VerbatimChar"/>
        </w:rPr>
        <w:t xml:space="preserve">hw_fit &lt;- HoltWinters(train, beta = FALSE, seasonal = "additive")</w:t>
      </w:r>
      <w:r>
        <w:br/>
      </w:r>
      <w:r>
        <w:rPr>
          <w:rStyle w:val="VerbatimChar"/>
        </w:rPr>
        <w:t xml:space="preserve">hw_fc &lt;- forecast(hw_fit, h = length(test), level = c(80, 95))</w:t>
      </w:r>
      <w:r>
        <w:br/>
      </w:r>
      <w:r>
        <w:rPr>
          <w:rStyle w:val="VerbatimChar"/>
        </w:rPr>
        <w:t xml:space="preserve">hw_fitted &lt;- fitted(hw_fit)[, 1]</w:t>
      </w:r>
      <w:r>
        <w:br/>
      </w:r>
      <w:r>
        <w:rPr>
          <w:rStyle w:val="VerbatimChar"/>
        </w:rPr>
        <w:t xml:space="preserve">hw_actual &lt;- tail(as.numeric(train), length(hw_fitted))</w:t>
      </w:r>
      <w:r>
        <w:br/>
      </w:r>
      <w:r>
        <w:rPr>
          <w:rStyle w:val="VerbatimChar"/>
        </w:rPr>
        <w:t xml:space="preserve">hw_response_residuals &lt;- hw_actual - as.numeric(hw_fitted)</w:t>
      </w:r>
      <w:r>
        <w:br/>
      </w:r>
      <w:r>
        <w:rPr>
          <w:rStyle w:val="VerbatimChar"/>
        </w:rPr>
        <w:t xml:space="preserve">Box.test(hw_response_residuals, lag = 24,</w:t>
      </w:r>
      <w:r>
        <w:br/>
      </w:r>
      <w:r>
        <w:rPr>
          <w:rStyle w:val="VerbatimChar"/>
        </w:rPr>
        <w:t xml:space="preserve">         type = "Ljung-Box", fitdf = 2)</w:t>
      </w:r>
      <w:r>
        <w:br/>
      </w:r>
      <w:r>
        <w:rPr>
          <w:rStyle w:val="VerbatimChar"/>
        </w:rPr>
        <w:t xml:space="preserve">metric_row("Holt-Winters", hw_fc, test, train)</w:t>
      </w:r>
    </w:p>
    <w:bookmarkEnd w:id="39"/>
    <w:bookmarkEnd w:id="40"/>
    <w:sectPr w:rsidR="00D7522C" w:rsidRPr="00CA4392" w:rsidSect="00E41015">
      <w:headerReference r:id="rId8" w:type="even"/>
      <w:headerReference r:id="rId9" w:type="default"/>
      <w:footerReference r:id="rId10" w:type="even"/>
      <w:footerReference r:id="rId11" w:type="default"/>
      <w:headerReference r:id="rId12" w:type="first"/>
      <w:footerReference r:id="rId13" w:type="first"/>
      <w:type w:val="continuous"/>
      <w:pgSz w:code="1" w:h="15840" w:w="12240"/>
      <w:pgMar w:bottom="1440" w:footer="720" w:gutter="0" w:header="720" w:left="893" w:right="893" w:top="1080"/>
      <w:cols w:num="2" w:space="36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NimbusRomNo9L-Regu">
    <w:altName w:val="Yu Gothic"/>
    <w:panose1 w:val="00000000000000000000"/>
    <w:charset w:val="80"/>
    <w:family w:val="auto"/>
    <w:notTrueType/>
    <w:pitch w:val="default"/>
    <w:sig w:usb0="00000001"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C890E" w14:textId="77777777" w:rsidR="00E41015" w:rsidRDefault="00E4101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6CC85" w14:textId="77777777" w:rsidR="00E41015" w:rsidRDefault="00E4101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21F62"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EAAFE" w14:textId="77777777" w:rsidR="00E41015" w:rsidRDefault="00E4101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9F4F3" w14:textId="77777777" w:rsidR="00E41015" w:rsidRDefault="00E4101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A3D8C" w14:textId="77777777" w:rsidR="00E41015" w:rsidRDefault="00E41015">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1D"/>
    <w:multiLevelType w:val="multilevel"/>
    <w:tmpl w:val="7A36CE9E"/>
    <w:lvl w:ilvl="0">
      <w:start w:val="1"/>
      <w:numFmt w:val="bullet"/>
      <w:lvlText w:val=""/>
      <w:lvlJc w:val="left"/>
      <w:pPr>
        <w:tabs>
          <w:tab w:pos="0" w:val="num"/>
        </w:tabs>
        <w:ind w:firstLine="0" w:left="0"/>
      </w:pPr>
      <w:rPr>
        <w:rFonts w:ascii="Symbol" w:hAnsi="Symbol" w:hint="default"/>
      </w:rPr>
    </w:lvl>
    <w:lvl w:ilvl="1">
      <w:start w:val="1"/>
      <w:numFmt w:val="bullet"/>
      <w:lvlText w:val=""/>
      <w:lvlJc w:val="left"/>
      <w:pPr>
        <w:tabs>
          <w:tab w:pos="720" w:val="num"/>
        </w:tabs>
        <w:ind w:hanging="360" w:left="1080"/>
      </w:pPr>
      <w:rPr>
        <w:rFonts w:ascii="Symbol" w:hAnsi="Symbol" w:hint="default"/>
      </w:rPr>
    </w:lvl>
    <w:lvl w:ilvl="2">
      <w:start w:val="1"/>
      <w:numFmt w:val="bullet"/>
      <w:lvlText w:val="o"/>
      <w:lvlJc w:val="left"/>
      <w:pPr>
        <w:tabs>
          <w:tab w:pos="1440" w:val="num"/>
        </w:tabs>
        <w:ind w:hanging="360" w:left="1800"/>
      </w:pPr>
      <w:rPr>
        <w:rFonts w:ascii="Courier New" w:cs="Courier New" w:hAnsi="Courier New" w:hint="default"/>
      </w:rPr>
    </w:lvl>
    <w:lvl w:ilvl="3">
      <w:start w:val="1"/>
      <w:numFmt w:val="bullet"/>
      <w:lvlText w:val=""/>
      <w:lvlJc w:val="left"/>
      <w:pPr>
        <w:tabs>
          <w:tab w:pos="2160" w:val="num"/>
        </w:tabs>
        <w:ind w:hanging="360" w:left="2520"/>
      </w:pPr>
      <w:rPr>
        <w:rFonts w:ascii="Wingdings" w:hAnsi="Wingdings" w:hint="default"/>
      </w:rPr>
    </w:lvl>
    <w:lvl w:ilvl="4">
      <w:start w:val="1"/>
      <w:numFmt w:val="bullet"/>
      <w:lvlText w:val=""/>
      <w:lvlJc w:val="left"/>
      <w:pPr>
        <w:tabs>
          <w:tab w:pos="2880" w:val="num"/>
        </w:tabs>
        <w:ind w:hanging="360" w:left="3240"/>
      </w:pPr>
      <w:rPr>
        <w:rFonts w:ascii="Wingdings" w:hAnsi="Wingdings" w:hint="default"/>
      </w:rPr>
    </w:lvl>
    <w:lvl w:ilvl="5">
      <w:start w:val="1"/>
      <w:numFmt w:val="bullet"/>
      <w:lvlText w:val=""/>
      <w:lvlJc w:val="left"/>
      <w:pPr>
        <w:tabs>
          <w:tab w:pos="3600" w:val="num"/>
        </w:tabs>
        <w:ind w:hanging="360" w:left="3960"/>
      </w:pPr>
      <w:rPr>
        <w:rFonts w:ascii="Symbol" w:hAnsi="Symbol" w:hint="default"/>
      </w:rPr>
    </w:lvl>
    <w:lvl w:ilvl="6">
      <w:start w:val="1"/>
      <w:numFmt w:val="bullet"/>
      <w:lvlText w:val="o"/>
      <w:lvlJc w:val="left"/>
      <w:pPr>
        <w:tabs>
          <w:tab w:pos="4320" w:val="num"/>
        </w:tabs>
        <w:ind w:hanging="360" w:left="4680"/>
      </w:pPr>
      <w:rPr>
        <w:rFonts w:ascii="Courier New" w:cs="Courier New" w:hAnsi="Courier New" w:hint="default"/>
      </w:rPr>
    </w:lvl>
    <w:lvl w:ilvl="7">
      <w:start w:val="1"/>
      <w:numFmt w:val="bullet"/>
      <w:lvlText w:val=""/>
      <w:lvlJc w:val="left"/>
      <w:pPr>
        <w:tabs>
          <w:tab w:pos="5040" w:val="num"/>
        </w:tabs>
        <w:ind w:hanging="360" w:left="5400"/>
      </w:pPr>
      <w:rPr>
        <w:rFonts w:ascii="Wingdings" w:hAnsi="Wingdings" w:hint="default"/>
      </w:rPr>
    </w:lvl>
    <w:lvl w:ilvl="8">
      <w:start w:val="1"/>
      <w:numFmt w:val="bullet"/>
      <w:lvlText w:val=""/>
      <w:lvlJc w:val="left"/>
      <w:pPr>
        <w:tabs>
          <w:tab w:pos="5760" w:val="num"/>
        </w:tabs>
        <w:ind w:hanging="360" w:left="6120"/>
      </w:pPr>
      <w:rPr>
        <w:rFonts w:ascii="Wingdings" w:hAnsi="Wingdings" w:hint="default"/>
      </w:rPr>
    </w:lvl>
  </w:abstractNum>
  <w:abstractNum w15:restartNumberingAfterBreak="0" w:abstractNumId="1">
    <w:nsid w:val="FFFFFF7C"/>
    <w:multiLevelType w:val="singleLevel"/>
    <w:tmpl w:val="DD629BEE"/>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2648E1C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9D38DB54"/>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632C24E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82268A1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8C0E77F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174639B8"/>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B1ACC408"/>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229E8DFE"/>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EA847AFE"/>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1E177E97"/>
    <w:multiLevelType w:val="hybridMultilevel"/>
    <w:tmpl w:val="A6463BCE"/>
    <w:lvl w:ilvl="0" w:tplc="04140013">
      <w:start w:val="1"/>
      <w:numFmt w:val="upperRoman"/>
      <w:lvlText w:val="%1."/>
      <w:lvlJc w:val="right"/>
      <w:pPr>
        <w:ind w:hanging="360" w:left="936"/>
      </w:pPr>
    </w:lvl>
    <w:lvl w:ilvl="1" w:tentative="1" w:tplc="04140019">
      <w:start w:val="1"/>
      <w:numFmt w:val="lowerLetter"/>
      <w:lvlText w:val="%2."/>
      <w:lvlJc w:val="left"/>
      <w:pPr>
        <w:ind w:hanging="360" w:left="1656"/>
      </w:pPr>
    </w:lvl>
    <w:lvl w:ilvl="2" w:tentative="1" w:tplc="0414001B">
      <w:start w:val="1"/>
      <w:numFmt w:val="lowerRoman"/>
      <w:lvlText w:val="%3."/>
      <w:lvlJc w:val="right"/>
      <w:pPr>
        <w:ind w:hanging="180" w:left="2376"/>
      </w:pPr>
    </w:lvl>
    <w:lvl w:ilvl="3" w:tentative="1" w:tplc="0414000F">
      <w:start w:val="1"/>
      <w:numFmt w:val="decimal"/>
      <w:lvlText w:val="%4."/>
      <w:lvlJc w:val="left"/>
      <w:pPr>
        <w:ind w:hanging="360" w:left="3096"/>
      </w:pPr>
    </w:lvl>
    <w:lvl w:ilvl="4" w:tentative="1" w:tplc="04140019">
      <w:start w:val="1"/>
      <w:numFmt w:val="lowerLetter"/>
      <w:lvlText w:val="%5."/>
      <w:lvlJc w:val="left"/>
      <w:pPr>
        <w:ind w:hanging="360" w:left="3816"/>
      </w:pPr>
    </w:lvl>
    <w:lvl w:ilvl="5" w:tentative="1" w:tplc="0414001B">
      <w:start w:val="1"/>
      <w:numFmt w:val="lowerRoman"/>
      <w:lvlText w:val="%6."/>
      <w:lvlJc w:val="right"/>
      <w:pPr>
        <w:ind w:hanging="180" w:left="4536"/>
      </w:pPr>
    </w:lvl>
    <w:lvl w:ilvl="6" w:tentative="1" w:tplc="0414000F">
      <w:start w:val="1"/>
      <w:numFmt w:val="decimal"/>
      <w:lvlText w:val="%7."/>
      <w:lvlJc w:val="left"/>
      <w:pPr>
        <w:ind w:hanging="360" w:left="5256"/>
      </w:pPr>
    </w:lvl>
    <w:lvl w:ilvl="7" w:tentative="1" w:tplc="04140019">
      <w:start w:val="1"/>
      <w:numFmt w:val="lowerLetter"/>
      <w:lvlText w:val="%8."/>
      <w:lvlJc w:val="left"/>
      <w:pPr>
        <w:ind w:hanging="360" w:left="5976"/>
      </w:pPr>
    </w:lvl>
    <w:lvl w:ilvl="8" w:tentative="1" w:tplc="0414001B">
      <w:start w:val="1"/>
      <w:numFmt w:val="lowerRoman"/>
      <w:lvlText w:val="%9."/>
      <w:lvlJc w:val="right"/>
      <w:pPr>
        <w:ind w:hanging="180" w:left="6696"/>
      </w:pPr>
    </w:lvl>
  </w:abstractNum>
  <w:abstractNum w15:restartNumberingAfterBreak="0" w:abstractNumId="12">
    <w:nsid w:val="20AF0333"/>
    <w:multiLevelType w:val="hybridMultilevel"/>
    <w:tmpl w:val="CB0E7F4E"/>
    <w:lvl w:ilvl="0" w:tplc="E09099E0">
      <w:start w:val="1"/>
      <w:numFmt w:val="lowerLetter"/>
      <w:lvlText w:val="%1."/>
      <w:lvlJc w:val="left"/>
      <w:pPr>
        <w:tabs>
          <w:tab w:pos="720" w:val="num"/>
        </w:tabs>
        <w:ind w:hanging="360" w:left="720"/>
      </w:pPr>
      <w:rPr>
        <w:rFonts w:cs="Times New Roman" w:hint="default"/>
        <w:i w:val="0"/>
        <w:iCs w:val="0"/>
      </w:rPr>
    </w:lvl>
    <w:lvl w:ilvl="1" w:tplc="04090019">
      <w:start w:val="1"/>
      <w:numFmt w:val="lowerLetter"/>
      <w:lvlText w:val="%2."/>
      <w:lvlJc w:val="left"/>
      <w:pPr>
        <w:tabs>
          <w:tab w:pos="1440" w:val="num"/>
        </w:tabs>
        <w:ind w:hanging="360" w:left="1440"/>
      </w:pPr>
      <w:rPr>
        <w:rFonts w:cs="Times New Roman"/>
      </w:rPr>
    </w:lvl>
    <w:lvl w:ilvl="2" w:tplc="0409001B">
      <w:start w:val="1"/>
      <w:numFmt w:val="lowerRoman"/>
      <w:lvlText w:val="%3."/>
      <w:lvlJc w:val="right"/>
      <w:pPr>
        <w:tabs>
          <w:tab w:pos="2160" w:val="num"/>
        </w:tabs>
        <w:ind w:hanging="180" w:left="2160"/>
      </w:pPr>
      <w:rPr>
        <w:rFonts w:cs="Times New Roman"/>
      </w:rPr>
    </w:lvl>
    <w:lvl w:ilvl="3" w:tplc="0409000F">
      <w:start w:val="1"/>
      <w:numFmt w:val="decimal"/>
      <w:lvlText w:val="%4."/>
      <w:lvlJc w:val="left"/>
      <w:pPr>
        <w:tabs>
          <w:tab w:pos="2880" w:val="num"/>
        </w:tabs>
        <w:ind w:hanging="360" w:left="2880"/>
      </w:pPr>
      <w:rPr>
        <w:rFonts w:cs="Times New Roman"/>
      </w:rPr>
    </w:lvl>
    <w:lvl w:ilvl="4" w:tplc="04090019">
      <w:start w:val="1"/>
      <w:numFmt w:val="lowerLetter"/>
      <w:lvlText w:val="%5."/>
      <w:lvlJc w:val="left"/>
      <w:pPr>
        <w:tabs>
          <w:tab w:pos="3600" w:val="num"/>
        </w:tabs>
        <w:ind w:hanging="360" w:left="3600"/>
      </w:pPr>
      <w:rPr>
        <w:rFonts w:cs="Times New Roman"/>
      </w:rPr>
    </w:lvl>
    <w:lvl w:ilvl="5" w:tplc="0409001B">
      <w:start w:val="1"/>
      <w:numFmt w:val="lowerRoman"/>
      <w:lvlText w:val="%6."/>
      <w:lvlJc w:val="right"/>
      <w:pPr>
        <w:tabs>
          <w:tab w:pos="4320" w:val="num"/>
        </w:tabs>
        <w:ind w:hanging="180" w:left="4320"/>
      </w:pPr>
      <w:rPr>
        <w:rFonts w:cs="Times New Roman"/>
      </w:rPr>
    </w:lvl>
    <w:lvl w:ilvl="6" w:tplc="0409000F">
      <w:start w:val="1"/>
      <w:numFmt w:val="decimal"/>
      <w:lvlText w:val="%7."/>
      <w:lvlJc w:val="left"/>
      <w:pPr>
        <w:tabs>
          <w:tab w:pos="5040" w:val="num"/>
        </w:tabs>
        <w:ind w:hanging="360" w:left="5040"/>
      </w:pPr>
      <w:rPr>
        <w:rFonts w:cs="Times New Roman"/>
      </w:rPr>
    </w:lvl>
    <w:lvl w:ilvl="7" w:tplc="04090019">
      <w:start w:val="1"/>
      <w:numFmt w:val="lowerLetter"/>
      <w:lvlText w:val="%8."/>
      <w:lvlJc w:val="left"/>
      <w:pPr>
        <w:tabs>
          <w:tab w:pos="5760" w:val="num"/>
        </w:tabs>
        <w:ind w:hanging="360" w:left="5760"/>
      </w:pPr>
      <w:rPr>
        <w:rFonts w:cs="Times New Roman"/>
      </w:rPr>
    </w:lvl>
    <w:lvl w:ilvl="8" w:tplc="0409001B">
      <w:start w:val="1"/>
      <w:numFmt w:val="lowerRoman"/>
      <w:lvlText w:val="%9."/>
      <w:lvlJc w:val="right"/>
      <w:pPr>
        <w:tabs>
          <w:tab w:pos="6480" w:val="num"/>
        </w:tabs>
        <w:ind w:hanging="180" w:left="6480"/>
      </w:pPr>
      <w:rPr>
        <w:rFonts w:cs="Times New Roman"/>
      </w:rPr>
    </w:lvl>
  </w:abstractNum>
  <w:abstractNum w15:restartNumberingAfterBreak="0" w:abstractNumId="13">
    <w:nsid w:val="26FE1FCF"/>
    <w:multiLevelType w:val="hybridMultilevel"/>
    <w:tmpl w:val="33826962"/>
    <w:lvl w:ilvl="0" w:tplc="A2947960">
      <w:start w:val="1"/>
      <w:numFmt w:val="decimal"/>
      <w:pStyle w:val="footnote"/>
      <w:lvlText w:val="%1 "/>
      <w:lvlJc w:val="left"/>
      <w:pPr>
        <w:tabs>
          <w:tab w:pos="648" w:val="num"/>
        </w:tabs>
        <w:ind w:firstLine="288"/>
      </w:pPr>
      <w:rPr>
        <w:rFonts w:ascii="Times New Roman" w:cs="Times New Roman" w:hAnsi="Times New Roman" w:hint="default"/>
        <w:b w:val="0"/>
        <w:bCs w:val="0"/>
        <w:i w:val="0"/>
        <w:iCs w:val="0"/>
        <w:caps w:val="0"/>
        <w:strike w:val="0"/>
        <w:dstrike w:val="0"/>
        <w:vanish w:val="0"/>
        <w:color w:val="000000"/>
        <w:sz w:val="16"/>
        <w:szCs w:val="16"/>
        <w:vertAlign w:val="superscript"/>
        <w14:shadow w14:algn="none" w14:blurRad="0" w14:dir="0" w14:dist="0" w14:kx="0" w14:ky="0" w14:sx="0" w14:sy="0">
          <w14:srgbClr w14:val="000000"/>
        </w14:shadow>
        <w14:textOutline w14:algn="ctr" w14:cap="rnd" w14:cmpd="sng" w14:w="0">
          <w14:noFill/>
          <w14:prstDash w14:val="solid"/>
          <w14:bevel/>
        </w14:textOutline>
      </w:rPr>
    </w:lvl>
    <w:lvl w:ilvl="1" w:tplc="04090019">
      <w:start w:val="1"/>
      <w:numFmt w:val="lowerLetter"/>
      <w:lvlText w:val="%2."/>
      <w:lvlJc w:val="left"/>
      <w:pPr>
        <w:tabs>
          <w:tab w:pos="1440" w:val="num"/>
        </w:tabs>
        <w:ind w:hanging="360" w:left="1440"/>
      </w:pPr>
      <w:rPr>
        <w:rFonts w:cs="Times New Roman"/>
      </w:rPr>
    </w:lvl>
    <w:lvl w:ilvl="2" w:tplc="0409001B">
      <w:start w:val="1"/>
      <w:numFmt w:val="lowerRoman"/>
      <w:lvlText w:val="%3."/>
      <w:lvlJc w:val="right"/>
      <w:pPr>
        <w:tabs>
          <w:tab w:pos="2160" w:val="num"/>
        </w:tabs>
        <w:ind w:hanging="180" w:left="2160"/>
      </w:pPr>
      <w:rPr>
        <w:rFonts w:cs="Times New Roman"/>
      </w:rPr>
    </w:lvl>
    <w:lvl w:ilvl="3" w:tplc="0409000F">
      <w:start w:val="1"/>
      <w:numFmt w:val="decimal"/>
      <w:lvlText w:val="%4."/>
      <w:lvlJc w:val="left"/>
      <w:pPr>
        <w:tabs>
          <w:tab w:pos="2880" w:val="num"/>
        </w:tabs>
        <w:ind w:hanging="360" w:left="2880"/>
      </w:pPr>
      <w:rPr>
        <w:rFonts w:cs="Times New Roman"/>
      </w:rPr>
    </w:lvl>
    <w:lvl w:ilvl="4" w:tplc="04090019">
      <w:start w:val="1"/>
      <w:numFmt w:val="lowerLetter"/>
      <w:lvlText w:val="%5."/>
      <w:lvlJc w:val="left"/>
      <w:pPr>
        <w:tabs>
          <w:tab w:pos="3600" w:val="num"/>
        </w:tabs>
        <w:ind w:hanging="360" w:left="3600"/>
      </w:pPr>
      <w:rPr>
        <w:rFonts w:cs="Times New Roman"/>
      </w:rPr>
    </w:lvl>
    <w:lvl w:ilvl="5" w:tplc="0409001B">
      <w:start w:val="1"/>
      <w:numFmt w:val="lowerRoman"/>
      <w:lvlText w:val="%6."/>
      <w:lvlJc w:val="right"/>
      <w:pPr>
        <w:tabs>
          <w:tab w:pos="4320" w:val="num"/>
        </w:tabs>
        <w:ind w:hanging="180" w:left="4320"/>
      </w:pPr>
      <w:rPr>
        <w:rFonts w:cs="Times New Roman"/>
      </w:rPr>
    </w:lvl>
    <w:lvl w:ilvl="6" w:tplc="0409000F">
      <w:start w:val="1"/>
      <w:numFmt w:val="decimal"/>
      <w:lvlText w:val="%7."/>
      <w:lvlJc w:val="left"/>
      <w:pPr>
        <w:tabs>
          <w:tab w:pos="5040" w:val="num"/>
        </w:tabs>
        <w:ind w:hanging="360" w:left="5040"/>
      </w:pPr>
      <w:rPr>
        <w:rFonts w:cs="Times New Roman"/>
      </w:rPr>
    </w:lvl>
    <w:lvl w:ilvl="7" w:tplc="04090019">
      <w:start w:val="1"/>
      <w:numFmt w:val="lowerLetter"/>
      <w:lvlText w:val="%8."/>
      <w:lvlJc w:val="left"/>
      <w:pPr>
        <w:tabs>
          <w:tab w:pos="5760" w:val="num"/>
        </w:tabs>
        <w:ind w:hanging="360" w:left="5760"/>
      </w:pPr>
      <w:rPr>
        <w:rFonts w:cs="Times New Roman"/>
      </w:rPr>
    </w:lvl>
    <w:lvl w:ilvl="8" w:tplc="0409001B">
      <w:start w:val="1"/>
      <w:numFmt w:val="lowerRoman"/>
      <w:lvlText w:val="%9."/>
      <w:lvlJc w:val="right"/>
      <w:pPr>
        <w:tabs>
          <w:tab w:pos="6480" w:val="num"/>
        </w:tabs>
        <w:ind w:hanging="180" w:left="6480"/>
      </w:pPr>
      <w:rPr>
        <w:rFonts w:cs="Times New Roman"/>
      </w:rPr>
    </w:lvl>
  </w:abstractNum>
  <w:abstractNum w15:restartNumberingAfterBreak="0" w:abstractNumId="14">
    <w:nsid w:val="37660336"/>
    <w:multiLevelType w:val="hybridMultilevel"/>
    <w:tmpl w:val="754EAC84"/>
    <w:lvl w:ilvl="0" w:tplc="C46877EA">
      <w:start w:val="1"/>
      <w:numFmt w:val="bullet"/>
      <w:pStyle w:val="bulletlist"/>
      <w:lvlText w:val=""/>
      <w:lvlJc w:val="left"/>
      <w:pPr>
        <w:tabs>
          <w:tab w:pos="648" w:val="num"/>
        </w:tabs>
        <w:ind w:hanging="360" w:left="648"/>
      </w:pPr>
      <w:rPr>
        <w:rFonts w:ascii="Symbol" w:hAnsi="Symbol" w:hint="default"/>
      </w:rPr>
    </w:lvl>
    <w:lvl w:ilvl="1" w:tplc="04090003">
      <w:start w:val="1"/>
      <w:numFmt w:val="bullet"/>
      <w:lvlText w:val="o"/>
      <w:lvlJc w:val="left"/>
      <w:pPr>
        <w:tabs>
          <w:tab w:pos="1440" w:val="num"/>
        </w:tabs>
        <w:ind w:hanging="360" w:left="1440"/>
      </w:pPr>
      <w:rPr>
        <w:rFonts w:ascii="Courier New" w:hAnsi="Courier New" w:hint="default"/>
      </w:rPr>
    </w:lvl>
    <w:lvl w:ilvl="2" w:tplc="04090005">
      <w:start w:val="1"/>
      <w:numFmt w:val="bullet"/>
      <w:lvlText w:val=""/>
      <w:lvlJc w:val="left"/>
      <w:pPr>
        <w:tabs>
          <w:tab w:pos="2160" w:val="num"/>
        </w:tabs>
        <w:ind w:hanging="360" w:left="2160"/>
      </w:pPr>
      <w:rPr>
        <w:rFonts w:ascii="Wingdings" w:hAnsi="Wingdings" w:hint="default"/>
      </w:rPr>
    </w:lvl>
    <w:lvl w:ilvl="3" w:tplc="04090001">
      <w:start w:val="1"/>
      <w:numFmt w:val="bullet"/>
      <w:lvlText w:val=""/>
      <w:lvlJc w:val="left"/>
      <w:pPr>
        <w:tabs>
          <w:tab w:pos="2880" w:val="num"/>
        </w:tabs>
        <w:ind w:hanging="360" w:left="2880"/>
      </w:pPr>
      <w:rPr>
        <w:rFonts w:ascii="Symbol" w:hAnsi="Symbol" w:hint="default"/>
      </w:rPr>
    </w:lvl>
    <w:lvl w:ilvl="4" w:tplc="04090003">
      <w:start w:val="1"/>
      <w:numFmt w:val="bullet"/>
      <w:lvlText w:val="o"/>
      <w:lvlJc w:val="left"/>
      <w:pPr>
        <w:tabs>
          <w:tab w:pos="3600" w:val="num"/>
        </w:tabs>
        <w:ind w:hanging="360" w:left="3600"/>
      </w:pPr>
      <w:rPr>
        <w:rFonts w:ascii="Courier New" w:hAnsi="Courier New" w:hint="default"/>
      </w:rPr>
    </w:lvl>
    <w:lvl w:ilvl="5" w:tplc="04090005">
      <w:start w:val="1"/>
      <w:numFmt w:val="bullet"/>
      <w:lvlText w:val=""/>
      <w:lvlJc w:val="left"/>
      <w:pPr>
        <w:tabs>
          <w:tab w:pos="4320" w:val="num"/>
        </w:tabs>
        <w:ind w:hanging="360" w:left="4320"/>
      </w:pPr>
      <w:rPr>
        <w:rFonts w:ascii="Wingdings" w:hAnsi="Wingdings" w:hint="default"/>
      </w:rPr>
    </w:lvl>
    <w:lvl w:ilvl="6" w:tplc="04090001">
      <w:start w:val="1"/>
      <w:numFmt w:val="bullet"/>
      <w:lvlText w:val=""/>
      <w:lvlJc w:val="left"/>
      <w:pPr>
        <w:tabs>
          <w:tab w:pos="5040" w:val="num"/>
        </w:tabs>
        <w:ind w:hanging="360" w:left="5040"/>
      </w:pPr>
      <w:rPr>
        <w:rFonts w:ascii="Symbol" w:hAnsi="Symbol" w:hint="default"/>
      </w:rPr>
    </w:lvl>
    <w:lvl w:ilvl="7" w:tplc="04090003">
      <w:start w:val="1"/>
      <w:numFmt w:val="bullet"/>
      <w:lvlText w:val="o"/>
      <w:lvlJc w:val="left"/>
      <w:pPr>
        <w:tabs>
          <w:tab w:pos="5760" w:val="num"/>
        </w:tabs>
        <w:ind w:hanging="360" w:left="5760"/>
      </w:pPr>
      <w:rPr>
        <w:rFonts w:ascii="Courier New" w:hAnsi="Courier New" w:hint="default"/>
      </w:rPr>
    </w:lvl>
    <w:lvl w:ilvl="8" w:tplc="04090005">
      <w:start w:val="1"/>
      <w:numFmt w:val="bullet"/>
      <w:lvlText w:val=""/>
      <w:lvlJc w:val="left"/>
      <w:pPr>
        <w:tabs>
          <w:tab w:pos="6480" w:val="num"/>
        </w:tabs>
        <w:ind w:hanging="360" w:left="6480"/>
      </w:pPr>
      <w:rPr>
        <w:rFonts w:ascii="Wingdings" w:hAnsi="Wingdings" w:hint="default"/>
      </w:rPr>
    </w:lvl>
  </w:abstractNum>
  <w:abstractNum w15:restartNumberingAfterBreak="0" w:abstractNumId="15">
    <w:nsid w:val="39E54FC6"/>
    <w:multiLevelType w:val="singleLevel"/>
    <w:tmpl w:val="5B7288D4"/>
    <w:lvl w:ilvl="0">
      <w:start w:val="14"/>
      <w:numFmt w:val="decimal"/>
      <w:lvlText w:val="%1"/>
      <w:lvlJc w:val="left"/>
      <w:pPr>
        <w:tabs>
          <w:tab w:pos="720" w:val="num"/>
        </w:tabs>
        <w:ind w:hanging="360" w:left="720"/>
      </w:pPr>
      <w:rPr>
        <w:rFonts w:cs="Times New Roman" w:hint="default"/>
      </w:rPr>
    </w:lvl>
  </w:abstractNum>
  <w:abstractNum w15:restartNumberingAfterBreak="0" w:abstractNumId="16">
    <w:nsid w:val="4189603E"/>
    <w:multiLevelType w:val="multilevel"/>
    <w:tmpl w:val="0AB06E12"/>
    <w:lvl w:ilvl="0">
      <w:start w:val="1"/>
      <w:numFmt w:val="upperRoman"/>
      <w:pStyle w:val="Heading1"/>
      <w:lvlText w:val="%1."/>
      <w:lvlJc w:val="center"/>
      <w:pPr>
        <w:tabs>
          <w:tab w:pos="576" w:val="num"/>
        </w:tabs>
        <w:ind w:firstLine="216"/>
      </w:pPr>
      <w:rPr>
        <w:rFonts w:ascii="Times New Roman" w:cs="Times New Roman" w:hAnsi="Times New Roman" w:hint="default"/>
        <w:caps w:val="0"/>
        <w:strike w:val="0"/>
        <w:dstrike w:val="0"/>
        <w:vanish w:val="0"/>
        <w:color w:val="auto"/>
        <w:sz w:val="20"/>
        <w:szCs w:val="20"/>
        <w:vertAlign w:val="baseline"/>
        <w14:shadow w14:algn="none" w14:blurRad="0" w14:dir="0" w14:dist="0" w14:kx="0" w14:ky="0" w14:sx="0" w14:sy="0">
          <w14:srgbClr w14:val="000000"/>
        </w14:shadow>
        <w14:textOutline w14:algn="ctr" w14:cap="rnd" w14:cmpd="sng" w14:w="0">
          <w14:noFill/>
          <w14:prstDash w14:val="solid"/>
          <w14:bevel/>
        </w14:textOutline>
      </w:rPr>
    </w:lvl>
    <w:lvl w:ilvl="1">
      <w:start w:val="1"/>
      <w:numFmt w:val="upperLetter"/>
      <w:pStyle w:val="Heading2"/>
      <w:lvlText w:val="%2."/>
      <w:lvlJc w:val="left"/>
      <w:pPr>
        <w:tabs>
          <w:tab w:pos="360" w:val="num"/>
        </w:tabs>
        <w:ind w:hanging="288" w:left="288"/>
      </w:pPr>
      <w:rPr>
        <w:rFonts w:ascii="Times New Roman" w:cs="Times New Roman" w:hAnsi="Times New Roman" w:hint="default"/>
        <w:b w:val="0"/>
        <w:bCs w:val="0"/>
        <w:i/>
        <w:iCs/>
        <w:caps w:val="0"/>
        <w:strike w:val="0"/>
        <w:dstrike w:val="0"/>
        <w:vanish w:val="0"/>
        <w:color w:val="auto"/>
        <w:sz w:val="20"/>
        <w:szCs w:val="20"/>
        <w:vertAlign w:val="baseline"/>
        <w14:shadow w14:algn="none" w14:blurRad="0" w14:dir="0" w14:dist="0" w14:kx="0" w14:ky="0" w14:sx="0" w14:sy="0">
          <w14:srgbClr w14:val="000000"/>
        </w14:shadow>
        <w14:textOutline w14:algn="ctr" w14:cap="rnd" w14:cmpd="sng" w14:w="0">
          <w14:noFill/>
          <w14:prstDash w14:val="solid"/>
          <w14:bevel/>
        </w14:textOutline>
      </w:rPr>
    </w:lvl>
    <w:lvl w:ilvl="2">
      <w:start w:val="1"/>
      <w:numFmt w:val="decimal"/>
      <w:pStyle w:val="Heading3"/>
      <w:lvlText w:val="%3)"/>
      <w:lvlJc w:val="left"/>
      <w:pPr>
        <w:tabs>
          <w:tab w:pos="540" w:val="num"/>
        </w:tabs>
        <w:ind w:firstLine="180"/>
      </w:pPr>
      <w:rPr>
        <w:rFonts w:ascii="Times New Roman" w:cs="Times New Roman" w:hAnsi="Times New Roman" w:hint="default"/>
        <w:b w:val="0"/>
        <w:bCs w:val="0"/>
        <w:i/>
        <w:iCs/>
        <w:caps w:val="0"/>
        <w:strike w:val="0"/>
        <w:dstrike w:val="0"/>
        <w:vanish w:val="0"/>
        <w:color w:val="auto"/>
        <w:sz w:val="20"/>
        <w:szCs w:val="20"/>
        <w:vertAlign w:val="baseline"/>
        <w14:shadow w14:algn="none" w14:blurRad="0" w14:dir="0" w14:dist="0" w14:kx="0" w14:ky="0" w14:sx="0" w14:sy="0">
          <w14:srgbClr w14:val="000000"/>
        </w14:shadow>
        <w14:textOutline w14:algn="ctr" w14:cap="rnd" w14:cmpd="sng" w14:w="0">
          <w14:noFill/>
          <w14:prstDash w14:val="solid"/>
          <w14:bevel/>
        </w14:textOutline>
      </w:rPr>
    </w:lvl>
    <w:lvl w:ilvl="3">
      <w:start w:val="1"/>
      <w:numFmt w:val="lowerLetter"/>
      <w:pStyle w:val="Heading4"/>
      <w:lvlText w:val="%4)"/>
      <w:lvlJc w:val="left"/>
      <w:pPr>
        <w:tabs>
          <w:tab w:pos="630" w:val="num"/>
        </w:tabs>
        <w:ind w:firstLine="360"/>
      </w:pPr>
      <w:rPr>
        <w:rFonts w:ascii="Times New Roman" w:cs="Times New Roman" w:hAnsi="Times New Roman" w:hint="default"/>
        <w:b w:val="0"/>
        <w:bCs w:val="0"/>
        <w:i/>
        <w:iCs/>
        <w:sz w:val="20"/>
        <w:szCs w:val="20"/>
      </w:rPr>
    </w:lvl>
    <w:lvl w:ilvl="4">
      <w:start w:val="1"/>
      <w:numFmt w:val="none"/>
      <w:lvlRestart w:val="0"/>
      <w:lvlText w:val=""/>
      <w:lvlJc w:val="left"/>
      <w:pPr>
        <w:tabs>
          <w:tab w:pos="3240" w:val="num"/>
        </w:tabs>
        <w:ind w:left="2880"/>
      </w:pPr>
      <w:rPr>
        <w:rFonts w:cs="Times New Roman" w:hint="default"/>
      </w:rPr>
    </w:lvl>
    <w:lvl w:ilvl="5">
      <w:start w:val="1"/>
      <w:numFmt w:val="lowerLetter"/>
      <w:lvlText w:val="(%6)"/>
      <w:lvlJc w:val="left"/>
      <w:pPr>
        <w:tabs>
          <w:tab w:pos="3960" w:val="num"/>
        </w:tabs>
        <w:ind w:left="3600"/>
      </w:pPr>
      <w:rPr>
        <w:rFonts w:cs="Times New Roman" w:hint="default"/>
      </w:rPr>
    </w:lvl>
    <w:lvl w:ilvl="6">
      <w:start w:val="1"/>
      <w:numFmt w:val="lowerRoman"/>
      <w:lvlText w:val="(%7)"/>
      <w:lvlJc w:val="left"/>
      <w:pPr>
        <w:tabs>
          <w:tab w:pos="4680" w:val="num"/>
        </w:tabs>
        <w:ind w:left="4320"/>
      </w:pPr>
      <w:rPr>
        <w:rFonts w:cs="Times New Roman" w:hint="default"/>
      </w:rPr>
    </w:lvl>
    <w:lvl w:ilvl="7">
      <w:start w:val="1"/>
      <w:numFmt w:val="lowerLetter"/>
      <w:lvlText w:val="(%8)"/>
      <w:lvlJc w:val="left"/>
      <w:pPr>
        <w:tabs>
          <w:tab w:pos="5400" w:val="num"/>
        </w:tabs>
        <w:ind w:left="5040"/>
      </w:pPr>
      <w:rPr>
        <w:rFonts w:cs="Times New Roman" w:hint="default"/>
      </w:rPr>
    </w:lvl>
    <w:lvl w:ilvl="8">
      <w:start w:val="1"/>
      <w:numFmt w:val="lowerRoman"/>
      <w:lvlText w:val="(%9)"/>
      <w:lvlJc w:val="left"/>
      <w:pPr>
        <w:tabs>
          <w:tab w:pos="6120" w:val="num"/>
        </w:tabs>
        <w:ind w:left="5760"/>
      </w:pPr>
      <w:rPr>
        <w:rFonts w:cs="Times New Roman" w:hint="default"/>
      </w:rPr>
    </w:lvl>
  </w:abstractNum>
  <w:abstractNum w15:restartNumberingAfterBreak="0" w:abstractNumId="17">
    <w:nsid w:val="493C3F76"/>
    <w:multiLevelType w:val="hybridMultilevel"/>
    <w:tmpl w:val="9A9E418C"/>
    <w:lvl w:ilvl="0" w:tplc="2C18EFA4">
      <w:start w:val="1"/>
      <w:numFmt w:val="lowerLetter"/>
      <w:pStyle w:val="tablefootnote"/>
      <w:lvlText w:val="%1."/>
      <w:lvlJc w:val="right"/>
      <w:pPr>
        <w:ind w:hanging="360" w:left="418"/>
      </w:pPr>
      <w:rPr>
        <w:rFonts w:ascii="Times New Roman" w:hAnsi="Times New Roman" w:hint="default"/>
        <w:b w:val="0"/>
        <w:i w:val="0"/>
        <w:caps w:val="0"/>
        <w:strike w:val="0"/>
        <w:dstrike w:val="0"/>
        <w:vanish w:val="0"/>
        <w:color w:val="auto"/>
        <w:spacing w:val="0"/>
        <w:w w:val="100"/>
        <w:kern w:val="0"/>
        <w:position w:val="0"/>
        <w:sz w:val="16"/>
        <w:vertAlign w:val="superscript"/>
        <w14:shadow w14:algn="none" w14:blurRad="0" w14:dir="0" w14:dist="0" w14:kx="0" w14:ky="0" w14:sx="0" w14:sy="0">
          <w14:srgbClr w14:val="000000"/>
        </w14:shadow>
        <w14:textOutline w14:algn="ctr" w14:cap="rnd" w14:cmpd="sng" w14:w="0">
          <w14:noFill/>
          <w14:prstDash w14:val="solid"/>
          <w14:bevel/>
        </w14:textOut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8">
    <w:nsid w:val="52CA544A"/>
    <w:multiLevelType w:val="singleLevel"/>
    <w:tmpl w:val="AED6D67E"/>
    <w:lvl w:ilvl="0">
      <w:start w:val="1"/>
      <w:numFmt w:val="decimal"/>
      <w:pStyle w:val="references"/>
      <w:lvlText w:val="[%1]"/>
      <w:lvlJc w:val="left"/>
      <w:pPr>
        <w:tabs>
          <w:tab w:pos="360" w:val="num"/>
        </w:tabs>
        <w:ind w:hanging="360" w:left="360"/>
      </w:pPr>
      <w:rPr>
        <w:rFonts w:ascii="Times New Roman" w:cs="Times New Roman" w:hAnsi="Times New Roman" w:hint="default"/>
        <w:b w:val="0"/>
        <w:bCs w:val="0"/>
        <w:i w:val="0"/>
        <w:iCs w:val="0"/>
        <w:sz w:val="16"/>
        <w:szCs w:val="16"/>
      </w:rPr>
    </w:lvl>
  </w:abstractNum>
  <w:abstractNum w15:restartNumberingAfterBreak="0" w:abstractNumId="19">
    <w:nsid w:val="6C402C58"/>
    <w:multiLevelType w:val="hybridMultilevel"/>
    <w:tmpl w:val="9A1CA078"/>
    <w:lvl w:ilvl="0" w:tplc="C8D6570A">
      <w:start w:val="1"/>
      <w:numFmt w:val="decimal"/>
      <w:pStyle w:val="figurecaption"/>
      <w:lvlText w:val="Fig. %1."/>
      <w:lvlJc w:val="left"/>
      <w:pPr>
        <w:ind w:hanging="360" w:left="360"/>
      </w:pPr>
      <w:rPr>
        <w:rFonts w:ascii="Times New Roman" w:cs="Times New Roman" w:hAnsi="Times New Roman" w:hint="default"/>
        <w:b w:val="0"/>
        <w:bCs w:val="0"/>
        <w:i w:val="0"/>
        <w:iCs w:val="0"/>
        <w:color w:val="auto"/>
        <w:sz w:val="16"/>
        <w:szCs w:val="16"/>
      </w:rPr>
    </w:lvl>
    <w:lvl w:ilvl="1" w:tplc="04090019">
      <w:start w:val="1"/>
      <w:numFmt w:val="lowerLetter"/>
      <w:lvlText w:val="%2."/>
      <w:lvlJc w:val="left"/>
      <w:pPr>
        <w:tabs>
          <w:tab w:pos="1440" w:val="num"/>
        </w:tabs>
        <w:ind w:hanging="360" w:left="1440"/>
      </w:pPr>
      <w:rPr>
        <w:rFonts w:cs="Times New Roman"/>
      </w:rPr>
    </w:lvl>
    <w:lvl w:ilvl="2" w:tplc="0409001B">
      <w:start w:val="1"/>
      <w:numFmt w:val="lowerRoman"/>
      <w:lvlText w:val="%3."/>
      <w:lvlJc w:val="right"/>
      <w:pPr>
        <w:tabs>
          <w:tab w:pos="2160" w:val="num"/>
        </w:tabs>
        <w:ind w:hanging="180" w:left="2160"/>
      </w:pPr>
      <w:rPr>
        <w:rFonts w:cs="Times New Roman"/>
      </w:rPr>
    </w:lvl>
    <w:lvl w:ilvl="3" w:tplc="0409000F">
      <w:start w:val="1"/>
      <w:numFmt w:val="decimal"/>
      <w:lvlText w:val="%4."/>
      <w:lvlJc w:val="left"/>
      <w:pPr>
        <w:tabs>
          <w:tab w:pos="2880" w:val="num"/>
        </w:tabs>
        <w:ind w:hanging="360" w:left="2880"/>
      </w:pPr>
      <w:rPr>
        <w:rFonts w:cs="Times New Roman"/>
      </w:rPr>
    </w:lvl>
    <w:lvl w:ilvl="4" w:tplc="04090019">
      <w:start w:val="1"/>
      <w:numFmt w:val="lowerLetter"/>
      <w:lvlText w:val="%5."/>
      <w:lvlJc w:val="left"/>
      <w:pPr>
        <w:tabs>
          <w:tab w:pos="3600" w:val="num"/>
        </w:tabs>
        <w:ind w:hanging="360" w:left="3600"/>
      </w:pPr>
      <w:rPr>
        <w:rFonts w:cs="Times New Roman"/>
      </w:rPr>
    </w:lvl>
    <w:lvl w:ilvl="5" w:tplc="0409001B">
      <w:start w:val="1"/>
      <w:numFmt w:val="lowerRoman"/>
      <w:lvlText w:val="%6."/>
      <w:lvlJc w:val="right"/>
      <w:pPr>
        <w:tabs>
          <w:tab w:pos="4320" w:val="num"/>
        </w:tabs>
        <w:ind w:hanging="180" w:left="4320"/>
      </w:pPr>
      <w:rPr>
        <w:rFonts w:cs="Times New Roman"/>
      </w:rPr>
    </w:lvl>
    <w:lvl w:ilvl="6" w:tplc="0409000F">
      <w:start w:val="1"/>
      <w:numFmt w:val="decimal"/>
      <w:lvlText w:val="%7."/>
      <w:lvlJc w:val="left"/>
      <w:pPr>
        <w:tabs>
          <w:tab w:pos="5040" w:val="num"/>
        </w:tabs>
        <w:ind w:hanging="360" w:left="5040"/>
      </w:pPr>
      <w:rPr>
        <w:rFonts w:cs="Times New Roman"/>
      </w:rPr>
    </w:lvl>
    <w:lvl w:ilvl="7" w:tplc="04090019">
      <w:start w:val="1"/>
      <w:numFmt w:val="lowerLetter"/>
      <w:lvlText w:val="%8."/>
      <w:lvlJc w:val="left"/>
      <w:pPr>
        <w:tabs>
          <w:tab w:pos="5760" w:val="num"/>
        </w:tabs>
        <w:ind w:hanging="360" w:left="5760"/>
      </w:pPr>
      <w:rPr>
        <w:rFonts w:cs="Times New Roman"/>
      </w:rPr>
    </w:lvl>
    <w:lvl w:ilvl="8" w:tplc="0409001B">
      <w:start w:val="1"/>
      <w:numFmt w:val="lowerRoman"/>
      <w:lvlText w:val="%9."/>
      <w:lvlJc w:val="right"/>
      <w:pPr>
        <w:tabs>
          <w:tab w:pos="6480" w:val="num"/>
        </w:tabs>
        <w:ind w:hanging="180" w:left="6480"/>
      </w:pPr>
      <w:rPr>
        <w:rFonts w:cs="Times New Roman"/>
      </w:rPr>
    </w:lvl>
  </w:abstractNum>
  <w:abstractNum w15:restartNumberingAfterBreak="0" w:abstractNumId="20">
    <w:nsid w:val="6CD32DA8"/>
    <w:multiLevelType w:val="singleLevel"/>
    <w:tmpl w:val="166470C2"/>
    <w:lvl w:ilvl="0">
      <w:start w:val="1"/>
      <w:numFmt w:val="upperRoman"/>
      <w:pStyle w:val="tablehead"/>
      <w:lvlText w:val="TABLE %1. "/>
      <w:lvlJc w:val="left"/>
      <w:pPr>
        <w:tabs>
          <w:tab w:pos="1080" w:val="num"/>
        </w:tabs>
      </w:pPr>
      <w:rPr>
        <w:rFonts w:ascii="Times New Roman" w:cs="Times New Roman" w:hAnsi="Times New Roman" w:hint="default"/>
        <w:b w:val="0"/>
        <w:bCs w:val="0"/>
        <w:i w:val="0"/>
        <w:iCs w:val="0"/>
        <w:sz w:val="16"/>
        <w:szCs w:val="16"/>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940377641" w:numId="1">
    <w:abstractNumId w:val="14"/>
  </w:num>
  <w:num w16cid:durableId="1397439891" w:numId="2">
    <w:abstractNumId w:val="19"/>
  </w:num>
  <w:num w16cid:durableId="539585121" w:numId="3">
    <w:abstractNumId w:val="13"/>
  </w:num>
  <w:num w16cid:durableId="1505513160" w:numId="4">
    <w:abstractNumId w:val="16"/>
  </w:num>
  <w:num w16cid:durableId="978925957" w:numId="5">
    <w:abstractNumId w:val="16"/>
  </w:num>
  <w:num w16cid:durableId="1721400726" w:numId="6">
    <w:abstractNumId w:val="16"/>
  </w:num>
  <w:num w16cid:durableId="687826470" w:numId="7">
    <w:abstractNumId w:val="16"/>
  </w:num>
  <w:num w16cid:durableId="143812469" w:numId="8">
    <w:abstractNumId w:val="18"/>
  </w:num>
  <w:num w16cid:durableId="1364867722" w:numId="9">
    <w:abstractNumId w:val="20"/>
  </w:num>
  <w:num w16cid:durableId="2029989048" w:numId="10">
    <w:abstractNumId w:val="15"/>
  </w:num>
  <w:num w16cid:durableId="642739898" w:numId="11">
    <w:abstractNumId w:val="12"/>
  </w:num>
  <w:num w16cid:durableId="1272741182" w:numId="12">
    <w:abstractNumId w:val="11"/>
  </w:num>
  <w:num w16cid:durableId="851069540" w:numId="13">
    <w:abstractNumId w:val="0"/>
  </w:num>
  <w:num w16cid:durableId="529344390" w:numId="14">
    <w:abstractNumId w:val="10"/>
  </w:num>
  <w:num w16cid:durableId="894972538" w:numId="15">
    <w:abstractNumId w:val="8"/>
  </w:num>
  <w:num w16cid:durableId="1023093075" w:numId="16">
    <w:abstractNumId w:val="7"/>
  </w:num>
  <w:num w16cid:durableId="1951620780" w:numId="17">
    <w:abstractNumId w:val="6"/>
  </w:num>
  <w:num w16cid:durableId="1765606468" w:numId="18">
    <w:abstractNumId w:val="5"/>
  </w:num>
  <w:num w16cid:durableId="409623909" w:numId="19">
    <w:abstractNumId w:val="9"/>
  </w:num>
  <w:num w16cid:durableId="1936084648" w:numId="20">
    <w:abstractNumId w:val="4"/>
  </w:num>
  <w:num w16cid:durableId="146483437" w:numId="21">
    <w:abstractNumId w:val="3"/>
  </w:num>
  <w:num w16cid:durableId="1467505995" w:numId="22">
    <w:abstractNumId w:val="2"/>
  </w:num>
  <w:num w16cid:durableId="1408696933" w:numId="23">
    <w:abstractNumId w:val="1"/>
  </w:num>
  <w:num w16cid:durableId="1366640472" w:numId="24">
    <w:abstractNumId w:val="17"/>
  </w:num>
  <w:num w16cid:durableId="1917282883" w:numId="25">
    <w:abstractNumId w:val="1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oNotHyphenateCaps/>
  <w:drawingGridHorizontalSpacing w:val="360"/>
  <w:drawingGridVerticalSpacing w:val="360"/>
  <w:displayHorizontalDrawingGridEvery w:val="0"/>
  <w:displayVerticalDrawingGridEvery w:val="0"/>
  <w:characterSpacingControl w:val="doNotCompress"/>
  <w:savePreviewPicture/>
  <w:doNotValidateAgainstSchema/>
  <w:doNotDemarcateInvalidXml/>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5079E"/>
    <w:rsid w:val="00156B74"/>
    <w:rsid w:val="001A2EFD"/>
    <w:rsid w:val="001A3B3D"/>
    <w:rsid w:val="001A42EA"/>
    <w:rsid w:val="001B67DC"/>
    <w:rsid w:val="001D7BCF"/>
    <w:rsid w:val="002254A9"/>
    <w:rsid w:val="00233D97"/>
    <w:rsid w:val="002850E3"/>
    <w:rsid w:val="00354FCF"/>
    <w:rsid w:val="00374903"/>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D54F6"/>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1CCC"/>
    <w:rsid w:val="00D632BE"/>
    <w:rsid w:val="00D72D06"/>
    <w:rsid w:val="00D7522C"/>
    <w:rsid w:val="00D7536F"/>
    <w:rsid w:val="00D76668"/>
    <w:rsid w:val="00D81CDC"/>
    <w:rsid w:val="00E41015"/>
    <w:rsid w:val="00E61E12"/>
    <w:rsid w:val="00E7596C"/>
    <w:rsid w:val="00E878F2"/>
    <w:rsid w:val="00ED0149"/>
    <w:rsid w:val="00EF7DE3"/>
    <w:rsid w:val="00F03103"/>
    <w:rsid w:val="00F12284"/>
    <w:rsid w:val="00F271DE"/>
    <w:rsid w:val="00F627DA"/>
    <w:rsid w:val="00F7288F"/>
    <w:rsid w:val="00F847A6"/>
    <w:rsid w:val="00F9441B"/>
    <w:rsid w:val="00F96569"/>
    <w:rsid w:val="00FA4C32"/>
    <w:rsid w:val="00FE7114"/>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SimSun" w:hAnsi="Times New Roman"/>
        <w:lang w:bidi="ar-SA" w:eastAsia="en-US" w:val="en-GB"/>
      </w:rPr>
    </w:rPrDefault>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caption" w:qFormat="1" w:semiHidden="1" w:unhideWhenUsed="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spacing w:after="120"/>
      <w:ind w:firstLine="288"/>
      <w:jc w:val="both"/>
    </w:pPr>
  </w:style>
  <w:style w:styleId="Heading1" w:type="paragraph">
    <w:name w:val="heading 1"/>
    <w:basedOn w:val="Normal"/>
    <w:next w:val="Normal"/>
    <w:qFormat/>
    <w:rsid w:val="006B6B66"/>
    <w:pPr>
      <w:keepNext/>
      <w:keepLines/>
      <w:numPr>
        <w:numId w:val="4"/>
      </w:numPr>
      <w:tabs>
        <w:tab w:pos="216" w:val="left"/>
      </w:tabs>
      <w:spacing w:after="80" w:before="160"/>
      <w:ind w:firstLine="0"/>
      <w:outlineLvl w:val="0"/>
    </w:pPr>
    <w:rPr>
      <w:smallCaps/>
      <w:noProof/>
    </w:rPr>
  </w:style>
  <w:style w:styleId="Heading2" w:type="paragraph">
    <w:name w:val="heading 2"/>
    <w:basedOn w:val="Normal"/>
    <w:next w:val="Normal"/>
    <w:qFormat/>
    <w:rsid w:val="00ED0149"/>
    <w:pPr>
      <w:keepNext/>
      <w:keepLines/>
      <w:numPr>
        <w:ilvl w:val="1"/>
        <w:numId w:val="4"/>
      </w:numPr>
      <w:tabs>
        <w:tab w:pos="360" w:val="clear"/>
        <w:tab w:pos="288" w:val="num"/>
      </w:tabs>
      <w:spacing w:after="60" w:before="120"/>
      <w:jc w:val="left"/>
      <w:outlineLvl w:val="1"/>
    </w:pPr>
    <w:rPr>
      <w:i/>
      <w:iCs/>
      <w:noProof/>
    </w:rPr>
  </w:style>
  <w:style w:styleId="Heading3" w:type="paragraph">
    <w:name w:val="heading 3"/>
    <w:basedOn w:val="Normal"/>
    <w:next w:val="Normal"/>
    <w:qFormat/>
    <w:rsid w:val="00794804"/>
    <w:pPr>
      <w:numPr>
        <w:ilvl w:val="2"/>
        <w:numId w:val="4"/>
      </w:numPr>
      <w:spacing w:line="240" w:lineRule="exact"/>
      <w:ind w:firstLine="288"/>
      <w:outlineLvl w:val="2"/>
    </w:pPr>
    <w:rPr>
      <w:i/>
      <w:iCs/>
      <w:noProof/>
    </w:rPr>
  </w:style>
  <w:style w:styleId="Heading4" w:type="paragraph">
    <w:name w:val="heading 4"/>
    <w:basedOn w:val="Normal"/>
    <w:next w:val="Normal"/>
    <w:qFormat/>
    <w:rsid w:val="00794804"/>
    <w:pPr>
      <w:numPr>
        <w:ilvl w:val="3"/>
        <w:numId w:val="4"/>
      </w:numPr>
      <w:tabs>
        <w:tab w:pos="630" w:val="clear"/>
        <w:tab w:pos="720" w:val="left"/>
      </w:tabs>
      <w:spacing w:after="40" w:before="40"/>
      <w:ind w:firstLine="504"/>
      <w:outlineLvl w:val="3"/>
    </w:pPr>
    <w:rPr>
      <w:i/>
      <w:iCs/>
      <w:noProof/>
    </w:rPr>
  </w:style>
  <w:style w:styleId="Heading5" w:type="paragraph">
    <w:name w:val="heading 5"/>
    <w:basedOn w:val="Normal"/>
    <w:next w:val="Normal"/>
    <w:qFormat/>
    <w:pPr>
      <w:tabs>
        <w:tab w:pos="360" w:val="left"/>
      </w:tabs>
      <w:spacing w:after="80" w:before="160"/>
      <w:outlineLvl w:val="4"/>
    </w:pPr>
    <w:rPr>
      <w:smallCaps/>
      <w:noProof/>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Abstract" w:type="paragraph">
    <w:name w:val="Abstract"/>
    <w:rsid w:val="00972203"/>
    <w:pPr>
      <w:spacing w:after="200"/>
      <w:ind w:firstLine="272"/>
      <w:jc w:val="both"/>
    </w:pPr>
    <w:rPr>
      <w:b/>
      <w:bCs/>
      <w:sz w:val="18"/>
      <w:szCs w:val="18"/>
    </w:rPr>
  </w:style>
  <w:style w:customStyle="1" w:styleId="Affiliation" w:type="paragraph">
    <w:name w:val="Affiliation"/>
    <w:pPr>
      <w:jc w:val="center"/>
    </w:pPr>
  </w:style>
  <w:style w:customStyle="1" w:styleId="Author" w:type="paragraph">
    <w:name w:val="Author"/>
    <w:pPr>
      <w:spacing w:after="40" w:before="360"/>
      <w:jc w:val="center"/>
    </w:pPr>
    <w:rPr>
      <w:noProof/>
      <w:sz w:val="22"/>
      <w:szCs w:val="22"/>
    </w:rPr>
  </w:style>
  <w:style w:styleId="BodyText" w:type="paragraph">
    <w:name w:val="Body Text"/>
    <w:basedOn w:val="Normal"/>
    <w:link w:val="BodyTextChar"/>
    <w:rsid w:val="00E7596C"/>
    <w:pPr>
      <w:tabs>
        <w:tab w:pos="288" w:val="left"/>
      </w:tabs>
      <w:spacing w:line="228" w:lineRule="auto"/>
    </w:pPr>
    <w:rPr>
      <w:spacing w:val="-1"/>
      <w:lang w:eastAsia="x-none" w:val="en-GB"/>
    </w:rPr>
  </w:style>
  <w:style w:customStyle="1" w:styleId="BodyTextChar" w:type="character">
    <w:name w:val="Body Text Char"/>
    <w:link w:val="BodyText"/>
    <w:rsid w:val="00E7596C"/>
    <w:rPr>
      <w:spacing w:val="-1"/>
      <w:lang w:eastAsia="x-none" w:val="en-GB"/>
    </w:rPr>
  </w:style>
  <w:style w:customStyle="1" w:styleId="bulletlist" w:type="paragraph">
    <w:name w:val="bullet list"/>
    <w:basedOn w:val="BodyText"/>
    <w:rsid w:val="001B67DC"/>
    <w:pPr>
      <w:numPr>
        <w:numId w:val="1"/>
      </w:numPr>
      <w:tabs>
        <w:tab w:pos="648" w:val="clear"/>
      </w:tabs>
      <w:ind w:hanging="288" w:left="576"/>
    </w:pPr>
  </w:style>
  <w:style w:customStyle="1" w:styleId="equation" w:type="paragraph">
    <w:name w:val="equation"/>
    <w:basedOn w:val="Normal"/>
    <w:rsid w:val="008A2C7D"/>
    <w:pPr>
      <w:tabs>
        <w:tab w:pos="2520" w:val="center"/>
        <w:tab w:pos="5040" w:val="right"/>
      </w:tabs>
      <w:spacing w:after="240" w:before="240" w:line="216" w:lineRule="auto"/>
    </w:pPr>
    <w:rPr>
      <w:rFonts w:ascii="Symbol" w:cs="Symbol" w:hAnsi="Symbol"/>
    </w:rPr>
  </w:style>
  <w:style w:customStyle="1" w:styleId="figurecaption" w:type="paragraph">
    <w:name w:val="figure caption"/>
    <w:rsid w:val="005B0344"/>
    <w:pPr>
      <w:numPr>
        <w:numId w:val="2"/>
      </w:numPr>
      <w:tabs>
        <w:tab w:pos="533" w:val="left"/>
      </w:tabs>
      <w:spacing w:after="200" w:before="80"/>
      <w:ind w:firstLine="0" w:left="0"/>
      <w:jc w:val="both"/>
    </w:pPr>
    <w:rPr>
      <w:noProof/>
      <w:sz w:val="16"/>
      <w:szCs w:val="16"/>
    </w:rPr>
  </w:style>
  <w:style w:customStyle="1" w:styleId="footnote" w:type="paragraph">
    <w:name w:val="footnote"/>
    <w:pPr>
      <w:framePr w:hAnchor="page" w:hSpace="187" w:vAnchor="text" w:vSpace="187" w:wrap="notBeside" w:x="6121" w:y="577"/>
      <w:numPr>
        <w:numId w:val="3"/>
      </w:numPr>
      <w:spacing w:after="40"/>
    </w:pPr>
    <w:rPr>
      <w:sz w:val="16"/>
      <w:szCs w:val="16"/>
    </w:rPr>
  </w:style>
  <w:style w:customStyle="1" w:styleId="papersubtitle" w:type="paragraph">
    <w:name w:val="paper subtitle"/>
    <w:pPr>
      <w:spacing w:after="120"/>
      <w:jc w:val="center"/>
    </w:pPr>
    <w:rPr>
      <w:rFonts w:eastAsia="MS Mincho"/>
      <w:noProof/>
      <w:sz w:val="28"/>
      <w:szCs w:val="28"/>
    </w:rPr>
  </w:style>
  <w:style w:customStyle="1" w:styleId="papertitle" w:type="paragraph">
    <w:name w:val="paper title"/>
    <w:link w:val="papertitleChar"/>
    <w:pPr>
      <w:spacing w:after="120"/>
      <w:jc w:val="center"/>
    </w:pPr>
    <w:rPr>
      <w:rFonts w:eastAsia="MS Mincho"/>
      <w:noProof/>
      <w:sz w:val="48"/>
      <w:szCs w:val="48"/>
    </w:rPr>
  </w:style>
  <w:style w:customStyle="1" w:styleId="references" w:type="paragraph">
    <w:name w:val="references"/>
    <w:pPr>
      <w:numPr>
        <w:numId w:val="8"/>
      </w:numPr>
      <w:spacing w:after="50" w:line="180" w:lineRule="exact"/>
      <w:jc w:val="both"/>
    </w:pPr>
    <w:rPr>
      <w:rFonts w:eastAsia="MS Mincho"/>
      <w:noProof/>
      <w:sz w:val="16"/>
      <w:szCs w:val="16"/>
    </w:rPr>
  </w:style>
  <w:style w:customStyle="1" w:styleId="sponsors" w:type="paragraph">
    <w:name w:val="sponsors"/>
    <w:pPr>
      <w:framePr w:hAnchor="text" w:wrap="auto" w:x="615" w:y="2239"/>
      <w:pBdr>
        <w:top w:color="auto" w:space="2" w:sz="4" w:val="single"/>
      </w:pBdr>
      <w:ind w:firstLine="288"/>
    </w:pPr>
    <w:rPr>
      <w:sz w:val="16"/>
      <w:szCs w:val="16"/>
    </w:rPr>
  </w:style>
  <w:style w:customStyle="1" w:styleId="tablecolhead" w:type="paragraph">
    <w:name w:val="table col head"/>
    <w:basedOn w:val="Normal"/>
    <w:rPr>
      <w:b/>
      <w:bCs/>
      <w:sz w:val="16"/>
      <w:szCs w:val="16"/>
    </w:rPr>
  </w:style>
  <w:style w:customStyle="1" w:styleId="tablecolsubhead" w:type="paragraph">
    <w:name w:val="table col subhead"/>
    <w:basedOn w:val="tablecolhead"/>
    <w:rPr>
      <w:i/>
      <w:iCs/>
      <w:sz w:val="15"/>
      <w:szCs w:val="15"/>
    </w:rPr>
  </w:style>
  <w:style w:customStyle="1" w:styleId="tablecopy" w:type="paragraph">
    <w:name w:val="table copy"/>
    <w:pPr>
      <w:jc w:val="both"/>
    </w:pPr>
    <w:rPr>
      <w:noProof/>
      <w:sz w:val="16"/>
      <w:szCs w:val="16"/>
    </w:rPr>
  </w:style>
  <w:style w:customStyle="1" w:styleId="tablefootnote" w:type="paragraph">
    <w:name w:val="table footnote"/>
    <w:rsid w:val="005E2800"/>
    <w:pPr>
      <w:numPr>
        <w:numId w:val="24"/>
      </w:numPr>
      <w:spacing w:after="30" w:before="60"/>
      <w:ind w:hanging="29" w:left="58"/>
      <w:jc w:val="right"/>
    </w:pPr>
    <w:rPr>
      <w:sz w:val="12"/>
      <w:szCs w:val="12"/>
    </w:rPr>
  </w:style>
  <w:style w:customStyle="1" w:styleId="tablehead" w:type="paragraph">
    <w:name w:val="table head"/>
    <w:pPr>
      <w:numPr>
        <w:numId w:val="9"/>
      </w:numPr>
      <w:spacing w:after="120" w:before="240" w:line="216" w:lineRule="auto"/>
      <w:jc w:val="center"/>
    </w:pPr>
    <w:rPr>
      <w:smallCaps/>
      <w:noProof/>
      <w:sz w:val="16"/>
      <w:szCs w:val="16"/>
    </w:rPr>
  </w:style>
  <w:style w:customStyle="1" w:styleId="Keywords" w:type="paragraph">
    <w:name w:val="Keywords"/>
    <w:basedOn w:val="Abstract"/>
    <w:qFormat/>
    <w:rsid w:val="00F9441B"/>
    <w:pPr>
      <w:spacing w:after="120"/>
      <w:ind w:firstLine="274"/>
    </w:pPr>
    <w:rPr>
      <w:i/>
    </w:rPr>
  </w:style>
  <w:style w:styleId="Header" w:type="paragraph">
    <w:name w:val="header"/>
    <w:basedOn w:val="Normal"/>
    <w:link w:val="HeaderChar"/>
    <w:rsid w:val="001A3B3D"/>
    <w:pPr>
      <w:tabs>
        <w:tab w:pos="4680" w:val="center"/>
        <w:tab w:pos="9360" w:val="right"/>
      </w:tabs>
    </w:pPr>
  </w:style>
  <w:style w:customStyle="1" w:styleId="HeaderChar" w:type="character">
    <w:name w:val="Header Char"/>
    <w:basedOn w:val="DefaultParagraphFont"/>
    <w:link w:val="Header"/>
    <w:rsid w:val="001A3B3D"/>
  </w:style>
  <w:style w:styleId="Footer" w:type="paragraph">
    <w:name w:val="footer"/>
    <w:basedOn w:val="Normal"/>
    <w:link w:val="FooterChar"/>
    <w:rsid w:val="001A3B3D"/>
    <w:pPr>
      <w:tabs>
        <w:tab w:pos="4680" w:val="center"/>
        <w:tab w:pos="9360" w:val="right"/>
      </w:tabs>
    </w:pPr>
  </w:style>
  <w:style w:customStyle="1" w:styleId="FooterChar" w:type="character">
    <w:name w:val="Footer Char"/>
    <w:basedOn w:val="DefaultParagraphFont"/>
    <w:link w:val="Footer"/>
    <w:rsid w:val="001A3B3D"/>
  </w:style>
  <w:style w:styleId="Hyperlink" w:type="character">
    <w:name w:val="Hyperlink"/>
    <w:basedOn w:val="DefaultParagraphFont"/>
    <w:rsid w:val="00156B74"/>
    <w:rPr>
      <w:color w:themeColor="hyperlink" w:val="0563C1"/>
      <w:u w:val="single"/>
    </w:rPr>
  </w:style>
  <w:style w:styleId="UnresolvedMention" w:type="character">
    <w:name w:val="Unresolved Mention"/>
    <w:basedOn w:val="DefaultParagraphFont"/>
    <w:uiPriority w:val="99"/>
    <w:semiHidden/>
    <w:unhideWhenUsed/>
    <w:rsid w:val="00156B74"/>
    <w:rPr>
      <w:color w:val="605E5C"/>
      <w:shd w:color="auto" w:fill="E1DFDD" w:val="clear"/>
    </w:rPr>
  </w:style>
  <w:style w:styleId="Title" w:type="paragraph">
    <w:name w:val="Title"/>
    <w:basedOn w:val="Normal"/>
    <w:next w:val="Normal"/>
    <w:link w:val="TitleChar"/>
    <w:qFormat/>
    <w:rsid w:val="00E41015"/>
    <w:pPr>
      <w:contextualSpacing/>
      <w:jc w:val="center"/>
    </w:pPr>
    <w:rPr>
      <w:rFonts w:eastAsiaTheme="majorEastAsia"/>
      <w:spacing w:val="-10"/>
      <w:kern w:val="28"/>
      <w:sz w:val="48"/>
      <w:szCs w:val="56"/>
    </w:rPr>
  </w:style>
  <w:style w:customStyle="1" w:styleId="TitleChar" w:type="character">
    <w:name w:val="Title Char"/>
    <w:basedOn w:val="DefaultParagraphFont"/>
    <w:link w:val="Title"/>
    <w:rsid w:val="00E41015"/>
    <w:rPr>
      <w:rFonts w:eastAsiaTheme="majorEastAsia"/>
      <w:spacing w:val="-10"/>
      <w:kern w:val="28"/>
      <w:sz w:val="48"/>
      <w:szCs w:val="56"/>
    </w:rPr>
  </w:style>
  <w:style w:styleId="Caption" w:type="paragraph">
    <w:name w:val="caption"/>
    <w:basedOn w:val="Normal"/>
    <w:next w:val="Normal"/>
    <w:semiHidden/>
    <w:unhideWhenUsed/>
    <w:qFormat/>
    <w:rsid w:val="00E41015"/>
    <w:pPr>
      <w:spacing w:after="200" w:before="80"/>
    </w:pPr>
    <w:rPr>
      <w:iCs/>
      <w:color w:themeColor="text2" w:val="44546A"/>
      <w:sz w:val="16"/>
      <w:szCs w:val="18"/>
    </w:rPr>
  </w:style>
  <w:style w:customStyle="1" w:styleId="SourceCode" w:type="paragraph">
    <w:name w:val="Source Code"/>
    <w:basedOn w:val="papertitle"/>
    <w:link w:val="SourceCodeChar"/>
    <w:rsid w:val="00E41015"/>
    <w:pPr>
      <w:spacing w:after="0" w:afterAutospacing="1" w:beforeAutospacing="1"/>
      <w:jc w:val="left"/>
    </w:pPr>
    <w:rPr>
      <w:rFonts w:ascii="Courier New" w:cs="Courier New" w:hAnsi="Courier New"/>
      <w:sz w:val="14"/>
    </w:rPr>
  </w:style>
  <w:style w:customStyle="1" w:styleId="papertitleChar" w:type="character">
    <w:name w:val="paper title Char"/>
    <w:basedOn w:val="DefaultParagraphFont"/>
    <w:link w:val="papertitle"/>
    <w:rsid w:val="00E41015"/>
    <w:rPr>
      <w:rFonts w:eastAsia="MS Mincho"/>
      <w:noProof/>
      <w:sz w:val="48"/>
      <w:szCs w:val="48"/>
    </w:rPr>
  </w:style>
  <w:style w:customStyle="1" w:styleId="SourceCodeChar" w:type="character">
    <w:name w:val="Source Code Char"/>
    <w:basedOn w:val="papertitleChar"/>
    <w:link w:val="SourceCode"/>
    <w:rsid w:val="00E41015"/>
    <w:rPr>
      <w:rFonts w:ascii="Courier New" w:cs="Courier New" w:eastAsia="MS Mincho" w:hAnsi="Courier New"/>
      <w:noProof/>
      <w:sz w:val="14"/>
      <w:szCs w:val="48"/>
    </w:rPr>
  </w:style>
  <w:style w:customStyle="1" w:styleId="Table" w:type="table">
    <w:name w:val="Table"/>
    <w:basedOn w:val="TableNormal"/>
    <w:rsid w:val="00E41015"/>
    <w:rPr>
      <w:sz w:val="16"/>
    </w:rPr>
    <w:tblPr/>
  </w:style>
  <w:style w:styleId="Bibliography" w:type="paragraph">
    <w:name w:val="Bibliography"/>
    <w:basedOn w:val="Normal"/>
    <w:next w:val="Normal"/>
    <w:uiPriority w:val="37"/>
    <w:semiHidden/>
    <w:unhideWhenUsed/>
    <w:rsid w:val="00E41015"/>
    <w:pPr>
      <w:spacing w:after="50"/>
      <w:ind w:firstLine="0"/>
    </w:pPr>
    <w:rPr>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36" Target="media/rId36.png" /><Relationship Type="http://schemas.openxmlformats.org/officeDocument/2006/relationships/image" Id="rId23" Target="media/rId23.png" /><Relationship Type="http://schemas.openxmlformats.org/officeDocument/2006/relationships/hyperlink" Id="rId30" Target="https://otexts.com/fpp3/" TargetMode="External" /><Relationship Type="http://schemas.openxmlformats.org/officeDocument/2006/relationships/hyperlink" Id="rId28" Target="https://pkg.robjhyndman.com/forecast/reference/checkresiduals.html" TargetMode="External" /><Relationship Type="http://schemas.openxmlformats.org/officeDocument/2006/relationships/hyperlink" Id="rId32" Target="https://power.larc.nasa.gov/docs/services/api/temporal/monthly/" TargetMode="External" /></Relationships>
</file>

<file path=word/_rels/footnotes.xml.rels><?xml version="1.0" encoding="UTF-8"?><Relationships xmlns="http://schemas.openxmlformats.org/package/2006/relationships"><Relationship Type="http://schemas.openxmlformats.org/officeDocument/2006/relationships/hyperlink" Id="rId30" Target="https://otexts.com/fpp3/" TargetMode="External" /><Relationship Type="http://schemas.openxmlformats.org/officeDocument/2006/relationships/hyperlink" Id="rId28" Target="https://pkg.robjhyndman.com/forecast/reference/checkresiduals.html" TargetMode="External" /><Relationship Type="http://schemas.openxmlformats.org/officeDocument/2006/relationships/hyperlink" Id="rId32" Target="https://power.larc.nasa.gov/docs/services/api/temporal/monthl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2275</Words>
  <Characters>12971</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Monthly Solar Irradiance in Kuala Lumpur</dc:title>
  <dc:creator/>
  <dc:language>en-GB</dc:language>
  <cp:keywords/>
  <dcterms:created xsi:type="dcterms:W3CDTF">2026-09-04T07:24:45Z</dcterms:created>
  <dcterms:modified xsi:type="dcterms:W3CDTF">2026-09-04T07:24:45Z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apa.csl</vt:lpwstr>
  </property>
  <property fmtid="{D5CDD505-2E9C-101B-9397-08002B2CF9AE}" pid="4" name="link-citations">
    <vt:lpwstr>False</vt:lpwstr>
  </property>
  <property fmtid="{D5CDD505-2E9C-101B-9397-08002B2CF9AE}" pid="5" name="number-sections">
    <vt:lpwstr>False</vt:lpwstr>
  </property>
  <property fmtid="{D5CDD505-2E9C-101B-9397-08002B2CF9AE}" pid="6" name="table-caption-position">
    <vt:lpwstr>above</vt:lpwstr>
  </property>
</Properties>
</file>