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27.png" ContentType="image/png"/>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Forecasting Monthly Solar Irradiance in Kuala Lumpur</w:t>
      </w:r>
    </w:p>
    <w:p>
      <w:pPr>
        <w:pStyle w:val="Author"/>
      </w:pPr>
      <w:r>
        <w:t xml:space="preserve">[Member 1 name], [Member 2 name], [Member 3 name], and [Member 4 name]</w:t>
      </w:r>
    </w:p>
    <w:p>
      <w:pPr>
        <w:pStyle w:val="Affiliation"/>
      </w:pPr>
      <w:r>
        <w:t xml:space="preserve">[Faculty name], [University name]</w:t>
      </w:r>
      <w:r>
        <w:br/>
      </w:r>
      <w:r>
        <w:t xml:space="preserve">BMMS2094 Statistics for Data Science · [Semester / session] · [Tutorial / group identifier]</w:t>
      </w:r>
      <w:r>
        <w:br/>
      </w:r>
      <w:r>
        <w:t xml:space="preserve">Submission date: [DD Month YYYY]</w:t>
      </w:r>
    </w:p>
    <w:p>
      <w:pPr>
        <w:sectPr>
          <w:type w:val="continuous"/>
          <w:pgSz w:w="12240" w:h="15840"/>
          <w:pgMar w:top="1080" w:right="893" w:bottom="1440" w:left="893" w:header="720" w:footer="720" w:gutter="0"/>
          <w:cols w:num="1" w:space="720"/>
          <w:docGrid w:linePitch="360"/>
        </w:sectPr>
      </w:pPr>
    </w:p>
    <w:p>
      <w:pPr>
        <w:pStyle w:val="Abstract"/>
      </w:pPr>
      <w:r>
        <w:rPr>
          <w:b/>
          <w:bCs/>
        </w:rPr>
        <w:t xml:space="preserve">Abstract—</w:t>
      </w:r>
      <w:r>
        <w:t xml:space="preserve">This study compares ARIMA, Holt–Winters, ETS, and linear regression for forecasting monthly NASA POWER surface solar irradiance in Kuala Lumpur. Models are evaluated on a common January 2021–December 2025 test period using accuracy, residual diagnostics, and physical-plausibility checks. ARIMA achieved the strongest admissible result, although its advantage over ETS was modest.</w:t>
      </w:r>
    </w:p>
    <w:p>
      <w:pPr>
        <w:pStyle w:val="Keywords"/>
      </w:pPr>
      <w:r>
        <w:rPr>
          <w:b/>
          <w:bCs/>
        </w:rPr>
        <w:t xml:space="preserve">Keywords—</w:t>
      </w:r>
      <w:r>
        <w:t xml:space="preserve">ARIMA, ETS, forecasting, Holt–Winters, linear regression, NASA POWER, solar irradiance.</w:t>
      </w:r>
    </w:p>
    <w:bookmarkStart w:id="22" w:name="introduction"/>
    <w:p>
      <w:pPr>
        <w:pStyle w:val="Heading1"/>
      </w:pPr>
      <w:r>
        <w:t xml:space="preserve">Introduction</w:t>
      </w:r>
    </w:p>
    <w:p>
      <w:pPr>
        <w:pStyle w:val="FirstParagraph"/>
      </w:pPr>
      <w:r>
        <w:t xml:space="preserve">Monthly solar-resource variability affects preliminary photovoltaic feasibility studies, storage sizing, maintenance scheduling, and energy-planning decisions. This study forecasts surface solar irradiance for Kuala Lumpur using NASA POWER’s monthly</w:t>
      </w:r>
      <w:r>
        <w:t xml:space="preserve"> </w:t>
      </w:r>
      <w:r>
        <w:rPr>
          <w:rStyle w:val="VerbatimChar"/>
        </w:rPr>
        <w:t xml:space="preserve">ALLSKY_SFC_SW_DWN</w:t>
      </w:r>
      <w:r>
        <w:t xml:space="preserve"> </w:t>
      </w:r>
      <w:r>
        <w:t xml:space="preserve">series at 3.139° N, 101.6869° E. NASA POWER supplies analysis-ready point time series and documents that its monthly solar fields combine satellite-derived archives rather than local ground-station measurements</w:t>
      </w:r>
      <w:r>
        <w:t xml:space="preserve"> </w:t>
      </w:r>
      <w:r>
        <w:t xml:space="preserve">[1]</w:t>
      </w:r>
      <w:r>
        <w:t xml:space="preserve">. The dataset contains 300 continuous observations from January 2001 through December 2025 in kWh/m²/day.</w:t>
      </w:r>
    </w:p>
    <w:p>
      <w:pPr>
        <w:pStyle w:val="BodyText"/>
      </w:pPr>
      <w:r>
        <w:t xml:space="preserve">The objectives were to (1) audit and describe the monthly series; (2) fit and diagnose ARIMA, Holt–Winters, ETS, and linear regression models; (3) compare the fitted models on a common 60-month chronological test using ME, MSE, RMSE, MAE, MPE, and MAPE; and (4) interpret the selected model for solar-resource planning. The work supports United Nations Sustainable Development Goal 7,</w:t>
      </w:r>
      <w:r>
        <w:t xml:space="preserve"> </w:t>
      </w:r>
      <w:r>
        <w:rPr>
          <w:i/>
          <w:iCs/>
        </w:rPr>
        <w:t xml:space="preserve">Affordable and Clean Energy</w:t>
      </w:r>
      <w:r>
        <w:t xml:space="preserve">, particularly Target 7.2 on increasing renewable energy’s share</w:t>
      </w:r>
      <w:r>
        <w:t xml:space="preserve"> </w:t>
      </w:r>
      <w:r>
        <w:t xml:space="preserve">[2]</w:t>
      </w:r>
      <w:r>
        <w:t xml:space="preserve">. Irradiance is a resource indicator, however, and is not equivalent to photovoltaic electricity output.</w:t>
      </w:r>
    </w:p>
    <w:bookmarkEnd w:id="22"/>
    <w:bookmarkStart w:id="23" w:name="methodology"/>
    <w:p>
      <w:pPr>
        <w:pStyle w:val="Heading1"/>
      </w:pPr>
      <w:r>
        <w:t xml:space="preserve">Methodology</w:t>
      </w:r>
    </w:p>
    <w:p>
      <w:pPr>
        <w:pStyle w:val="FirstParagraph"/>
      </w:pPr>
      <w:r>
        <w:t xml:space="preserve">The NASA JSON response was to be parsed by year-month. Annual-summary keys such as</w:t>
      </w:r>
      <w:r>
        <w:t xml:space="preserve"> </w:t>
      </w:r>
      <w:r>
        <w:rPr>
          <w:rStyle w:val="VerbatimChar"/>
        </w:rPr>
        <w:t xml:space="preserve">YYYY13</w:t>
      </w:r>
      <w:r>
        <w:t xml:space="preserve"> </w:t>
      </w:r>
      <w:r>
        <w:t xml:space="preserve">would be excluded, and</w:t>
      </w:r>
      <w:r>
        <w:t xml:space="preserve"> </w:t>
      </w:r>
      <w:r>
        <w:rPr>
          <w:rStyle w:val="VerbatimChar"/>
        </w:rPr>
        <w:t xml:space="preserve">-999</w:t>
      </w:r>
      <w:r>
        <w:t xml:space="preserve"> </w:t>
      </w:r>
      <w:r>
        <w:t xml:space="preserve">would be treated as NASA’s fill value. The cleaned series would be checked for the expected coverage, missing values, duplicate dates, chronological continuity, and implausible negative irradiance before being represented as a monthly time series with frequency 12.</w:t>
      </w:r>
    </w:p>
    <w:p>
      <w:pPr>
        <w:pStyle w:val="BodyText"/>
      </w:pPr>
      <w:r>
        <w:t xml:space="preserve">An 80:20 chronological split would be fixed before final testing: January 2001–December 2020 for estimation and January 2021–December 2025 for evaluation. Random splitting would be avoided because it leaks future information. This whole-season design was chosen over alternatives that break annual boundaries or reduce the available training history, thereby balancing seasonal integrity, parameter stability, and a demanding multi-year test.</w:t>
      </w:r>
    </w:p>
    <w:p>
      <w:pPr>
        <w:pStyle w:val="BodyText"/>
      </w:pPr>
      <w:r>
        <w:t xml:space="preserve">The training series would be examined using time and seasonal plots, monthly summaries, decomposition, variance diagnostics, and differencing tests. Any need for a variance-stabilising transformation would be assessed from the training data by comparing transformed and untransformed diagnostics. This proposal-stage methodology specifies the decision process without reporting an estimated transformation value or other empirical outcome.</w:t>
      </w:r>
    </w:p>
    <w:p>
      <w:pPr>
        <w:pStyle w:val="BodyText"/>
      </w:pPr>
      <w:r>
        <w:t xml:space="preserve">Four basic forecasting models were selected for the research. ARIMA was selected because it can represent serial dependence and recurring patterns in a time series. Holt–Winters was selected because it can update the series level, trend, and seasonality through smoothing. ETS was selected because its state-space framework can represent changing components and forecast uncertainty. Linear regression was selected because it provides a clear and interpretable representation of trend and seasonal effects. Specific model variants, settings, and estimated parameters are reserved for the individual reports. Together, the four models provide broad coverage of serial-dependence, smoothing, state-space, and deterministic forecasting approaches</w:t>
      </w:r>
      <w:r>
        <w:t xml:space="preserve"> </w:t>
      </w:r>
      <w:r>
        <w:t xml:space="preserve">[3], [4]</w:t>
      </w:r>
      <w:r>
        <w:t xml:space="preserve">.</w:t>
      </w:r>
    </w:p>
    <w:p>
      <w:pPr>
        <w:pStyle w:val="BodyText"/>
      </w:pPr>
      <w:r>
        <w:t xml:space="preserve">Response residuals (</w:t>
      </w:r>
      <w:r>
        <w:rPr>
          <w:rStyle w:val="VerbatimChar"/>
        </w:rPr>
        <w:t xml:space="preserve">observed − fitted</w:t>
      </w:r>
      <w:r>
        <w:t xml:space="preserve">) would be used consistently</w:t>
      </w:r>
      <w:r>
        <w:t xml:space="preserve"> </w:t>
      </w:r>
      <w:r>
        <w:t xml:space="preserve">[5]</w:t>
      </w:r>
      <w:r>
        <w:t xml:space="preserve">. The common accuracy set would comprise ME, MSE, RMSE, MAE, MPE, and MAPE. ME and MPE would be judged by closeness to zero and their signs used to identify underforecasting or overforecasting; the other four measures would be minimised. Because MSE and RMSE induce the same ordering, they would not be treated as independent votes. Residual time plots, ACFs, and Ljung–Box tests at lag 24 would be evaluated with fitted degrees of freedom;</w:t>
      </w:r>
      <w:r>
        <w:t xml:space="preserve"> </w:t>
      </w:r>
      <m:oMath>
        <m:r>
          <m:t>p</m:t>
        </m:r>
        <m:r>
          <m:rPr>
            <m:sty m:val="p"/>
          </m:rPr>
          <m:t>&gt;</m:t>
        </m:r>
        <m:r>
          <m:t>0.05</m:t>
        </m:r>
      </m:oMath>
      <w:r>
        <w:t xml:space="preserve"> </w:t>
      </w:r>
      <w:r>
        <w:t xml:space="preserve">would indicate insufficient evidence against residual white noise. Test RMSE would be the primary ranking metric and MAE secondary, subject to white-noise diagnostics and non-negative forecasts. The analysis would be implemented reproducibly in R using the</w:t>
      </w:r>
      <w:r>
        <w:t xml:space="preserve"> </w:t>
      </w:r>
      <w:r>
        <w:rPr>
          <w:rStyle w:val="VerbatimChar"/>
        </w:rPr>
        <w:t xml:space="preserve">forecast</w:t>
      </w:r>
      <w:r>
        <w:t xml:space="preserve"> </w:t>
      </w:r>
      <w:r>
        <w:t xml:space="preserve">and</w:t>
      </w:r>
      <w:r>
        <w:t xml:space="preserve"> </w:t>
      </w:r>
      <w:r>
        <w:rPr>
          <w:rStyle w:val="VerbatimChar"/>
        </w:rPr>
        <w:t xml:space="preserve">jsonlite</w:t>
      </w:r>
      <w:r>
        <w:t xml:space="preserve"> </w:t>
      </w:r>
      <w:r>
        <w:t xml:space="preserve">packages</w:t>
      </w:r>
      <w:r>
        <w:t xml:space="preserve"> </w:t>
      </w:r>
      <w:r>
        <w:t xml:space="preserve">[6], [7]</w:t>
      </w:r>
      <w:r>
        <w:t xml:space="preserve">.</w:t>
      </w:r>
    </w:p>
    <w:bookmarkEnd w:id="23"/>
    <w:bookmarkStart w:id="30" w:name="data-analysis"/>
    <w:p>
      <w:pPr>
        <w:pStyle w:val="Heading1"/>
      </w:pPr>
      <w:r>
        <w:t xml:space="preserve">Data Analysis</w:t>
      </w:r>
    </w:p>
    <w:p>
      <w:pPr>
        <w:pStyle w:val="FirstParagraph"/>
      </w:pPr>
      <w:r>
        <w:t xml:space="preserve">The complete series averaged 4.7927 kWh/m²/day (SD 0.4061; range 3.4478–5.9244). Calendar-month means show a marked annual cycle: March was highest (5.2456), while December was lowest (4.2005). The overview and STL panels indicate recurring seasonality with comparatively modest long-term movement.</w:t>
      </w:r>
    </w:p>
    <w:p>
      <w:pPr>
        <w:pStyle w:val="CaptionedFigure"/>
      </w:pPr>
      <w:r>
        <w:drawing>
          <wp:inline>
            <wp:extent cx="2926080" cy="1463040"/>
            <wp:effectExtent b="0" l="0" r="0" t="0"/>
            <wp:docPr descr="Monthly series and calendar-month distribution. The dashed line marks the January 2021 test boundary." title="" id="25" name="Picture"/>
            <a:graphic>
              <a:graphicData uri="http://schemas.openxmlformats.org/drawingml/2006/picture">
                <pic:pic>
                  <pic:nvPicPr>
                    <pic:cNvPr descr="../analysis_outputs/nasa/figures/nasa_overview.png" id="26" name="Picture"/>
                    <pic:cNvPicPr>
                      <a:picLocks noChangeArrowheads="1" noChangeAspect="1"/>
                    </pic:cNvPicPr>
                  </pic:nvPicPr>
                  <pic:blipFill>
                    <a:blip r:embed="rId24"/>
                    <a:stretch>
                      <a:fillRect/>
                    </a:stretch>
                  </pic:blipFill>
                  <pic:spPr bwMode="auto">
                    <a:xfrm>
                      <a:off x="0" y="0"/>
                      <a:ext cx="2926080" cy="1463040"/>
                    </a:xfrm>
                    <a:prstGeom prst="rect">
                      <a:avLst/>
                    </a:prstGeom>
                    <a:noFill/>
                    <a:ln w="9525">
                      <a:noFill/>
                      <a:headEnd/>
                      <a:tailEnd/>
                    </a:ln>
                  </pic:spPr>
                </pic:pic>
              </a:graphicData>
            </a:graphic>
          </wp:inline>
        </w:drawing>
      </w:r>
    </w:p>
    <w:p>
      <w:pPr>
        <w:pStyle w:val="ImageCaption"/>
      </w:pPr>
      <w:r>
        <w:t xml:space="preserve">Monthly series and calendar-month distribution. The dashed line marks the January 2021 test boundary.</w:t>
      </w:r>
    </w:p>
    <w:p>
      <w:pPr>
        <w:pStyle w:val="CaptionedFigure"/>
      </w:pPr>
      <w:r>
        <w:drawing>
          <wp:inline>
            <wp:extent cx="2926080" cy="2560320"/>
            <wp:effectExtent b="0" l="0" r="0" t="0"/>
            <wp:docPr descr="STL trend, seasonal and remainder components, with the ACF of the STL remainder." title="" id="28" name="Picture"/>
            <a:graphic>
              <a:graphicData uri="http://schemas.openxmlformats.org/drawingml/2006/picture">
                <pic:pic>
                  <pic:nvPicPr>
                    <pic:cNvPr descr="../analysis_outputs/nasa/figures/nasa_decomposition_diagnostics.png" id="29" name="Picture"/>
                    <pic:cNvPicPr>
                      <a:picLocks noChangeArrowheads="1" noChangeAspect="1"/>
                    </pic:cNvPicPr>
                  </pic:nvPicPr>
                  <pic:blipFill>
                    <a:blip r:embed="rId27"/>
                    <a:stretch>
                      <a:fillRect/>
                    </a:stretch>
                  </pic:blipFill>
                  <pic:spPr bwMode="auto">
                    <a:xfrm>
                      <a:off x="0" y="0"/>
                      <a:ext cx="2926080" cy="2560320"/>
                    </a:xfrm>
                    <a:prstGeom prst="rect">
                      <a:avLst/>
                    </a:prstGeom>
                    <a:noFill/>
                    <a:ln w="9525">
                      <a:noFill/>
                      <a:headEnd/>
                      <a:tailEnd/>
                    </a:ln>
                  </pic:spPr>
                </pic:pic>
              </a:graphicData>
            </a:graphic>
          </wp:inline>
        </w:drawing>
      </w:r>
    </w:p>
    <w:p>
      <w:pPr>
        <w:pStyle w:val="ImageCaption"/>
      </w:pPr>
      <w:r>
        <w:t xml:space="preserve">STL trend, seasonal and remainder components, with the ACF of the STL remainder.</w:t>
      </w:r>
    </w:p>
    <w:tbl>
      <w:tblPr>
        <w:tblStyle w:val="Table"/>
        <w:tblW w:type="pct" w:w="5000"/>
        <w:tblLayout w:type="fixed"/>
        <w:tblLook w:firstRow="1" w:lastRow="0" w:firstColumn="0" w:lastColumn="0" w:noHBand="0" w:noVBand="0" w:val="0020"/>
      </w:tblPr>
      <w:tblGrid>
        <w:gridCol w:w="880"/>
        <w:gridCol w:w="1173"/>
        <w:gridCol w:w="1173"/>
        <w:gridCol w:w="1173"/>
        <w:gridCol w:w="1173"/>
        <w:gridCol w:w="1173"/>
        <w:gridCol w:w="1173"/>
      </w:tblGrid>
      <w:tr>
        <w:trPr>
          <w:tblHeader w:val="on"/>
        </w:trPr>
        <w:tc>
          <w:tcPr/>
          <w:p>
            <w:pPr>
              <w:pStyle w:val="Compact"/>
            </w:pPr>
            <w:r>
              <w:t xml:space="preserve">Model</w:t>
            </w:r>
          </w:p>
        </w:tc>
        <w:tc>
          <w:tcPr/>
          <w:p>
            <w:pPr>
              <w:pStyle w:val="Compact"/>
              <w:jc w:val="right"/>
            </w:pPr>
            <w:r>
              <w:t xml:space="preserve">ME</w:t>
            </w:r>
          </w:p>
        </w:tc>
        <w:tc>
          <w:tcPr/>
          <w:p>
            <w:pPr>
              <w:pStyle w:val="Compact"/>
              <w:jc w:val="right"/>
            </w:pPr>
            <w:r>
              <w:t xml:space="preserve">MSE</w:t>
            </w:r>
          </w:p>
        </w:tc>
        <w:tc>
          <w:tcPr/>
          <w:p>
            <w:pPr>
              <w:pStyle w:val="Compact"/>
              <w:jc w:val="right"/>
            </w:pPr>
            <w:r>
              <w:t xml:space="preserve">RMSE</w:t>
            </w:r>
          </w:p>
        </w:tc>
        <w:tc>
          <w:tcPr/>
          <w:p>
            <w:pPr>
              <w:pStyle w:val="Compact"/>
              <w:jc w:val="right"/>
            </w:pPr>
            <w:r>
              <w:t xml:space="preserve">MAE</w:t>
            </w:r>
          </w:p>
        </w:tc>
        <w:tc>
          <w:tcPr/>
          <w:p>
            <w:pPr>
              <w:pStyle w:val="Compact"/>
              <w:jc w:val="right"/>
            </w:pPr>
            <w:r>
              <w:t xml:space="preserve">MPE</w:t>
            </w:r>
          </w:p>
        </w:tc>
        <w:tc>
          <w:tcPr/>
          <w:p>
            <w:pPr>
              <w:pStyle w:val="Compact"/>
              <w:jc w:val="right"/>
            </w:pPr>
            <w:r>
              <w:t xml:space="preserve">MAPE</w:t>
            </w:r>
          </w:p>
        </w:tc>
      </w:tr>
      <w:tr>
        <w:tc>
          <w:tcPr/>
          <w:p>
            <w:pPr>
              <w:pStyle w:val="Compact"/>
            </w:pPr>
            <w:r>
              <w:t xml:space="preserve">SARIMA</w:t>
            </w:r>
          </w:p>
        </w:tc>
        <w:tc>
          <w:tcPr/>
          <w:p>
            <w:pPr>
              <w:pStyle w:val="Compact"/>
              <w:jc w:val="right"/>
            </w:pPr>
            <w:r>
              <w:t xml:space="preserve">−0.0566</w:t>
            </w:r>
          </w:p>
        </w:tc>
        <w:tc>
          <w:tcPr/>
          <w:p>
            <w:pPr>
              <w:pStyle w:val="Compact"/>
              <w:jc w:val="right"/>
            </w:pPr>
            <w:r>
              <w:t xml:space="preserve">0.0857</w:t>
            </w:r>
          </w:p>
        </w:tc>
        <w:tc>
          <w:tcPr/>
          <w:p>
            <w:pPr>
              <w:pStyle w:val="Compact"/>
              <w:jc w:val="right"/>
            </w:pPr>
            <w:r>
              <w:t xml:space="preserve">0.2928</w:t>
            </w:r>
          </w:p>
        </w:tc>
        <w:tc>
          <w:tcPr/>
          <w:p>
            <w:pPr>
              <w:pStyle w:val="Compact"/>
              <w:jc w:val="right"/>
            </w:pPr>
            <w:r>
              <w:t xml:space="preserve">0.2245</w:t>
            </w:r>
          </w:p>
        </w:tc>
        <w:tc>
          <w:tcPr/>
          <w:p>
            <w:pPr>
              <w:pStyle w:val="Compact"/>
              <w:jc w:val="right"/>
            </w:pPr>
            <w:r>
              <w:t xml:space="preserve">−1.4643%</w:t>
            </w:r>
          </w:p>
        </w:tc>
        <w:tc>
          <w:tcPr/>
          <w:p>
            <w:pPr>
              <w:pStyle w:val="Compact"/>
              <w:jc w:val="right"/>
            </w:pPr>
            <w:r>
              <w:t xml:space="preserve">4.7346%</w:t>
            </w:r>
          </w:p>
        </w:tc>
      </w:tr>
      <w:tr>
        <w:tc>
          <w:tcPr/>
          <w:p>
            <w:pPr>
              <w:pStyle w:val="Compact"/>
            </w:pPr>
            <w:r>
              <w:t xml:space="preserve">ETS</w:t>
            </w:r>
          </w:p>
        </w:tc>
        <w:tc>
          <w:tcPr/>
          <w:p>
            <w:pPr>
              <w:pStyle w:val="Compact"/>
              <w:jc w:val="right"/>
            </w:pPr>
            <w:r>
              <w:t xml:space="preserve">−0.0847</w:t>
            </w:r>
          </w:p>
        </w:tc>
        <w:tc>
          <w:tcPr/>
          <w:p>
            <w:pPr>
              <w:pStyle w:val="Compact"/>
              <w:jc w:val="right"/>
            </w:pPr>
            <w:r>
              <w:t xml:space="preserve">0.0869</w:t>
            </w:r>
          </w:p>
        </w:tc>
        <w:tc>
          <w:tcPr/>
          <w:p>
            <w:pPr>
              <w:pStyle w:val="Compact"/>
              <w:jc w:val="right"/>
            </w:pPr>
            <w:r>
              <w:t xml:space="preserve">0.2947</w:t>
            </w:r>
          </w:p>
        </w:tc>
        <w:tc>
          <w:tcPr/>
          <w:p>
            <w:pPr>
              <w:pStyle w:val="Compact"/>
              <w:jc w:val="right"/>
            </w:pPr>
            <w:r>
              <w:t xml:space="preserve">0.2351</w:t>
            </w:r>
          </w:p>
        </w:tc>
        <w:tc>
          <w:tcPr/>
          <w:p>
            <w:pPr>
              <w:pStyle w:val="Compact"/>
              <w:jc w:val="right"/>
            </w:pPr>
            <w:r>
              <w:t xml:space="preserve">−2.0546%</w:t>
            </w:r>
          </w:p>
        </w:tc>
        <w:tc>
          <w:tcPr/>
          <w:p>
            <w:pPr>
              <w:pStyle w:val="Compact"/>
              <w:jc w:val="right"/>
            </w:pPr>
            <w:r>
              <w:t xml:space="preserve">4.9673%</w:t>
            </w:r>
          </w:p>
        </w:tc>
      </w:tr>
      <w:tr>
        <w:tc>
          <w:tcPr/>
          <w:p>
            <w:pPr>
              <w:pStyle w:val="Compact"/>
            </w:pPr>
            <w:r>
              <w:t xml:space="preserve">Trend + season</w:t>
            </w:r>
          </w:p>
        </w:tc>
        <w:tc>
          <w:tcPr/>
          <w:p>
            <w:pPr>
              <w:pStyle w:val="Compact"/>
              <w:jc w:val="right"/>
            </w:pPr>
            <w:r>
              <w:t xml:space="preserve">−0.0989</w:t>
            </w:r>
          </w:p>
        </w:tc>
        <w:tc>
          <w:tcPr/>
          <w:p>
            <w:pPr>
              <w:pStyle w:val="Compact"/>
              <w:jc w:val="right"/>
            </w:pPr>
            <w:r>
              <w:t xml:space="preserve">0.0893</w:t>
            </w:r>
          </w:p>
        </w:tc>
        <w:tc>
          <w:tcPr/>
          <w:p>
            <w:pPr>
              <w:pStyle w:val="Compact"/>
              <w:jc w:val="right"/>
            </w:pPr>
            <w:r>
              <w:t xml:space="preserve">0.2988</w:t>
            </w:r>
          </w:p>
        </w:tc>
        <w:tc>
          <w:tcPr/>
          <w:p>
            <w:pPr>
              <w:pStyle w:val="Compact"/>
              <w:jc w:val="right"/>
            </w:pPr>
            <w:r>
              <w:t xml:space="preserve">0.2414</w:t>
            </w:r>
          </w:p>
        </w:tc>
        <w:tc>
          <w:tcPr/>
          <w:p>
            <w:pPr>
              <w:pStyle w:val="Compact"/>
              <w:jc w:val="right"/>
            </w:pPr>
            <w:r>
              <w:t xml:space="preserve">−2.3584%</w:t>
            </w:r>
          </w:p>
        </w:tc>
        <w:tc>
          <w:tcPr/>
          <w:p>
            <w:pPr>
              <w:pStyle w:val="Compact"/>
              <w:jc w:val="right"/>
            </w:pPr>
            <w:r>
              <w:t xml:space="preserve">5.1093%</w:t>
            </w:r>
          </w:p>
        </w:tc>
      </w:tr>
      <w:tr>
        <w:tc>
          <w:tcPr/>
          <w:p>
            <w:pPr>
              <w:pStyle w:val="Compact"/>
            </w:pPr>
            <w:r>
              <w:t xml:space="preserve">Holt–Winters</w:t>
            </w:r>
          </w:p>
        </w:tc>
        <w:tc>
          <w:tcPr/>
          <w:p>
            <w:pPr>
              <w:pStyle w:val="Compact"/>
              <w:jc w:val="right"/>
            </w:pPr>
            <w:r>
              <w:t xml:space="preserve">−0.1037</w:t>
            </w:r>
          </w:p>
        </w:tc>
        <w:tc>
          <w:tcPr/>
          <w:p>
            <w:pPr>
              <w:pStyle w:val="Compact"/>
              <w:jc w:val="right"/>
            </w:pPr>
            <w:r>
              <w:t xml:space="preserve">0.0962</w:t>
            </w:r>
          </w:p>
        </w:tc>
        <w:tc>
          <w:tcPr/>
          <w:p>
            <w:pPr>
              <w:pStyle w:val="Compact"/>
              <w:jc w:val="right"/>
            </w:pPr>
            <w:r>
              <w:t xml:space="preserve">0.3101</w:t>
            </w:r>
          </w:p>
        </w:tc>
        <w:tc>
          <w:tcPr/>
          <w:p>
            <w:pPr>
              <w:pStyle w:val="Compact"/>
              <w:jc w:val="right"/>
            </w:pPr>
            <w:r>
              <w:t xml:space="preserve">0.2464</w:t>
            </w:r>
          </w:p>
        </w:tc>
        <w:tc>
          <w:tcPr/>
          <w:p>
            <w:pPr>
              <w:pStyle w:val="Compact"/>
              <w:jc w:val="right"/>
            </w:pPr>
            <w:r>
              <w:t xml:space="preserve">−2.4553%</w:t>
            </w:r>
          </w:p>
        </w:tc>
        <w:tc>
          <w:tcPr/>
          <w:p>
            <w:pPr>
              <w:pStyle w:val="Compact"/>
              <w:jc w:val="right"/>
            </w:pPr>
            <w:r>
              <w:t xml:space="preserve">5.2213%</w:t>
            </w:r>
          </w:p>
        </w:tc>
      </w:tr>
    </w:tbl>
    <w:p>
      <w:pPr>
        <w:pStyle w:val="BodyText"/>
      </w:pPr>
      <w:r>
        <w:t xml:space="preserve">On the common test period, SARIMA had the lowest MSE, RMSE, MAE, and MAPE and the ME and MPE closest to zero. Negative ME and MPE for every model indicate average overforecasting under the declared</w:t>
      </w:r>
      <w:r>
        <w:t xml:space="preserve"> </w:t>
      </w:r>
      <w:r>
        <w:rPr>
          <w:rStyle w:val="VerbatimChar"/>
        </w:rPr>
        <w:t xml:space="preserve">actual − forecast</w:t>
      </w:r>
      <w:r>
        <w:t xml:space="preserve"> </w:t>
      </w:r>
      <w:r>
        <w:t xml:space="preserve">convention. Residual checks were also considered when determining whether a model was admissible.</w:t>
      </w:r>
    </w:p>
    <w:p>
      <w:pPr>
        <w:pStyle w:val="BodyText"/>
      </w:pPr>
      <w:r>
        <w:t xml:space="preserve">ARIMA ranked first and passed the diagnostic and physical-plausibility gates. Its RMSE was only 0.0019 kWh/m²/day (0.65%) below ETS, so the predictive advantage is modest rather than decisive. ETS was a statistically acceptable close second. Holt–Winters also passed its white-noise test but produced the largest errors. Linear regression ranked third by RMSE but failed the residual eligibility condition because material serial dependence remained.</w:t>
      </w:r>
    </w:p>
    <w:p>
      <w:pPr>
        <w:pStyle w:val="BodyText"/>
      </w:pPr>
      <w:r>
        <w:t xml:space="preserve">The selected ARIMA model represents recurring annual patterns and serial dependence in the irradiance series. After selection, it was refitted using the complete dataset to produce the 2026 forecasts. These future forecasts were not used in the 2021–2025 model comparison.</w:t>
      </w:r>
    </w:p>
    <w:bookmarkEnd w:id="30"/>
    <w:bookmarkStart w:id="46" w:name="conclusion"/>
    <w:p>
      <w:pPr>
        <w:pStyle w:val="Heading1"/>
      </w:pPr>
      <w:r>
        <w:t xml:space="preserve">Conclusion</w:t>
      </w:r>
    </w:p>
    <w:p>
      <w:pPr>
        <w:pStyle w:val="FirstParagraph"/>
      </w:pPr>
      <w:r>
        <w:t xml:space="preserve">ARIMA provided the strongest admissible result for this dataset: RMSE 0.2928, MAE 0.2245, and Ljung–Box</w:t>
      </w:r>
      <w:r>
        <w:t xml:space="preserve"> </w:t>
      </w:r>
      <m:oMath>
        <m:r>
          <m:t>p</m:t>
        </m:r>
        <m:r>
          <m:rPr>
            <m:sty m:val="p"/>
          </m:rPr>
          <m:t>=</m:t>
        </m:r>
        <m:r>
          <m:t>0.2129</m:t>
        </m:r>
      </m:oMath>
      <w:r>
        <w:t xml:space="preserve">. Its narrow advantage over ETS shows that the conclusion should be treated as a defensible selection for the present sample, not evidence of universal superiority. The pattern supports annual seasonality and serial dependence, while the uncertain regression trend cautions against asserting strong long-run growth.</w:t>
      </w:r>
    </w:p>
    <w:p>
      <w:pPr>
        <w:pStyle w:val="BodyText"/>
      </w:pPr>
      <w:r>
        <w:t xml:space="preserve">Seasonal irradiance forecasts can inform early-stage renewable-resource assessment, maintenance timing, and storage planning aligned with SDG 7.2, but engineering decisions additionally require panel efficiency, temperature, shading, system losses, demand, and cost data. Further limitations include the gridded satellite product, monthly averaging, source-archive changes, absence of ground-station validation, structural-change risk, and uncertainty over the five-year horizon. Recommended extensions are local validation, rolling-origin evaluation, additional weather predictors, forecast combinations, and scheduled re-estimation as new observations arrive.</w:t>
      </w:r>
    </w:p>
    <w:p>
      <w:pPr>
        <w:pStyle w:val="Heading5"/>
      </w:pPr>
      <w:r>
        <w:t xml:space="preserve">Author Contributions</w:t>
      </w:r>
    </w:p>
    <w:p>
      <w:pPr>
        <w:pStyle w:val="BodyText"/>
      </w:pPr>
      <w:r>
        <w:t xml:space="preserve">[Member 1 name] ([ID]): [25%]</w:t>
      </w:r>
    </w:p>
    <w:p>
      <w:pPr>
        <w:pStyle w:val="BodyText"/>
      </w:pPr>
      <w:r>
        <w:t xml:space="preserve">[Member 2 name] ([ID]): [25%]</w:t>
      </w:r>
    </w:p>
    <w:p>
      <w:pPr>
        <w:pStyle w:val="BodyText"/>
      </w:pPr>
      <w:r>
        <w:t xml:space="preserve">[Member 3 name] ([ID]): [25%]</w:t>
      </w:r>
    </w:p>
    <w:p>
      <w:pPr>
        <w:pStyle w:val="BodyText"/>
      </w:pPr>
      <w:r>
        <w:t xml:space="preserve">[Member 4 name] ([ID]): [25%]</w:t>
      </w:r>
    </w:p>
    <w:p>
      <w:pPr>
        <w:pStyle w:val="BodyText"/>
      </w:pPr>
      <w:r>
        <w:rPr>
          <w:b/>
          <w:bCs/>
        </w:rPr>
        <w:t xml:space="preserve">Total: 100%</w:t>
      </w:r>
    </w:p>
    <w:p>
      <w:pPr>
        <w:pStyle w:val="Heading5"/>
      </w:pPr>
      <w:r>
        <w:t xml:space="preserve">References</w:t>
      </w:r>
    </w:p>
    <w:bookmarkStart w:id="45" w:name="refs"/>
    <w:bookmarkStart w:id="32" w:name="ref-nasa-power-monthly"/>
    <w:p>
      <w:pPr>
        <w:pStyle w:val="Bibliography"/>
      </w:pPr>
      <w:r>
        <w:t xml:space="preserve">[1]</w:t>
      </w:r>
      <w:r>
        <w:t xml:space="preserve"> </w:t>
      </w:r>
      <w:r>
        <w:t xml:space="preserve">	</w:t>
      </w:r>
      <w:r>
        <w:t xml:space="preserve">NASA Prediction Of Worldwide Energy Resources,</w:t>
      </w:r>
      <w:r>
        <w:t xml:space="preserve"> </w:t>
      </w:r>
      <w:r>
        <w:t xml:space="preserve">‘Monthly and annual API’</w:t>
      </w:r>
      <w:r>
        <w:t xml:space="preserve">. Accessed: Sep. 01, 2026. [Online]. Available:</w:t>
      </w:r>
      <w:r>
        <w:t xml:space="preserve"> </w:t>
      </w:r>
      <w:hyperlink r:id="rId31">
        <w:r>
          <w:rPr>
            <w:rStyle w:val="Hyperlink"/>
          </w:rPr>
          <w:t xml:space="preserve">https://power.larc.nasa.gov/docs/services/api/temporal/monthly/</w:t>
        </w:r>
      </w:hyperlink>
    </w:p>
    <w:bookmarkEnd w:id="32"/>
    <w:bookmarkStart w:id="34" w:name="ref-un-sdg7"/>
    <w:p>
      <w:pPr>
        <w:pStyle w:val="Bibliography"/>
      </w:pPr>
      <w:r>
        <w:t xml:space="preserve">[2]</w:t>
      </w:r>
      <w:r>
        <w:t xml:space="preserve"> </w:t>
      </w:r>
      <w:r>
        <w:t xml:space="preserve">	</w:t>
      </w:r>
      <w:r>
        <w:t xml:space="preserve">United Nations Department of Economic and Social Affairs,</w:t>
      </w:r>
      <w:r>
        <w:t xml:space="preserve"> </w:t>
      </w:r>
      <w:r>
        <w:t xml:space="preserve">‘Goal 7: Ensure access to affordable, reliable, sustainable and modern energy for all’</w:t>
      </w:r>
      <w:r>
        <w:t xml:space="preserve">. Accessed: Sep. 01, 2026. [Online]. Available:</w:t>
      </w:r>
      <w:r>
        <w:t xml:space="preserve"> </w:t>
      </w:r>
      <w:hyperlink r:id="rId33">
        <w:r>
          <w:rPr>
            <w:rStyle w:val="Hyperlink"/>
          </w:rPr>
          <w:t xml:space="preserve">https://sdgs.un.org/goals/goal7</w:t>
        </w:r>
      </w:hyperlink>
    </w:p>
    <w:bookmarkEnd w:id="34"/>
    <w:bookmarkStart w:id="36" w:name="ref-hyndman-athanasopoulos-2021"/>
    <w:p>
      <w:pPr>
        <w:pStyle w:val="Bibliography"/>
      </w:pPr>
      <w:r>
        <w:t xml:space="preserve">[3]</w:t>
      </w:r>
      <w:r>
        <w:t xml:space="preserve"> </w:t>
      </w:r>
      <w:r>
        <w:t xml:space="preserve">	</w:t>
      </w:r>
      <w:r>
        <w:t xml:space="preserve">R. J. Hyndman and G. Athanasopoulos,</w:t>
      </w:r>
      <w:r>
        <w:t xml:space="preserve"> </w:t>
      </w:r>
      <w:r>
        <w:rPr>
          <w:i/>
          <w:iCs/>
        </w:rPr>
        <w:t xml:space="preserve">Forecasting: Principles and practice</w:t>
      </w:r>
      <w:r>
        <w:t xml:space="preserve">, 3rd edn. Melbourne, Australia: OTexts, 2021. Available:</w:t>
      </w:r>
      <w:r>
        <w:t xml:space="preserve"> </w:t>
      </w:r>
      <w:hyperlink r:id="rId35">
        <w:r>
          <w:rPr>
            <w:rStyle w:val="Hyperlink"/>
          </w:rPr>
          <w:t xml:space="preserve">https://otexts.com/fpp3/</w:t>
        </w:r>
      </w:hyperlink>
    </w:p>
    <w:bookmarkEnd w:id="36"/>
    <w:bookmarkStart w:id="38" w:name="ref-hyndman-khandakar-2008"/>
    <w:p>
      <w:pPr>
        <w:pStyle w:val="Bibliography"/>
      </w:pPr>
      <w:r>
        <w:t xml:space="preserve">[4]</w:t>
      </w:r>
      <w:r>
        <w:t xml:space="preserve"> </w:t>
      </w:r>
      <w:r>
        <w:t xml:space="preserve">	</w:t>
      </w:r>
      <w:r>
        <w:t xml:space="preserve">R. J. Hyndman and Y. Khandakar,</w:t>
      </w:r>
      <w:r>
        <w:t xml:space="preserve"> </w:t>
      </w:r>
      <w:r>
        <w:t xml:space="preserve">‘Automatic time series forecasting: The forecast package for r’</w:t>
      </w:r>
      <w:r>
        <w:t xml:space="preserve">,</w:t>
      </w:r>
      <w:r>
        <w:t xml:space="preserve"> </w:t>
      </w:r>
      <w:r>
        <w:rPr>
          <w:i/>
          <w:iCs/>
        </w:rPr>
        <w:t xml:space="preserve">Journal of Statistical Software</w:t>
      </w:r>
      <w:r>
        <w:t xml:space="preserve">, vol. 27, no. 3, pp. 1–22, 2008, doi:</w:t>
      </w:r>
      <w:r>
        <w:t xml:space="preserve"> </w:t>
      </w:r>
      <w:hyperlink r:id="rId37">
        <w:r>
          <w:rPr>
            <w:rStyle w:val="Hyperlink"/>
          </w:rPr>
          <w:t xml:space="preserve">10.18637/jss.v027.i03</w:t>
        </w:r>
      </w:hyperlink>
      <w:r>
        <w:t xml:space="preserve">.</w:t>
      </w:r>
    </w:p>
    <w:bookmarkEnd w:id="38"/>
    <w:bookmarkStart w:id="40" w:name="ref-forecast-residuals"/>
    <w:p>
      <w:pPr>
        <w:pStyle w:val="Bibliography"/>
      </w:pPr>
      <w:r>
        <w:t xml:space="preserve">[5]</w:t>
      </w:r>
      <w:r>
        <w:t xml:space="preserve"> </w:t>
      </w:r>
      <w:r>
        <w:t xml:space="preserve">	</w:t>
      </w:r>
      <w:r>
        <w:t xml:space="preserve">R. J. Hyndman,</w:t>
      </w:r>
      <w:r>
        <w:t xml:space="preserve"> </w:t>
      </w:r>
      <w:r>
        <w:t xml:space="preserve">‘Residuals for various time series models’</w:t>
      </w:r>
      <w:r>
        <w:t xml:space="preserve">. Accessed: Sep. 01, 2026. [Online]. Available:</w:t>
      </w:r>
      <w:r>
        <w:t xml:space="preserve"> </w:t>
      </w:r>
      <w:hyperlink r:id="rId39">
        <w:r>
          <w:rPr>
            <w:rStyle w:val="Hyperlink"/>
          </w:rPr>
          <w:t xml:space="preserve">https://pkg.robjhyndman.com/forecast/reference/residuals.forecast.html</w:t>
        </w:r>
      </w:hyperlink>
    </w:p>
    <w:bookmarkEnd w:id="40"/>
    <w:bookmarkStart w:id="42" w:name="ref-forecast-package"/>
    <w:p>
      <w:pPr>
        <w:pStyle w:val="Bibliography"/>
      </w:pPr>
      <w:r>
        <w:t xml:space="preserve">[6]</w:t>
      </w:r>
      <w:r>
        <w:t xml:space="preserve"> </w:t>
      </w:r>
      <w:r>
        <w:t xml:space="preserve">	</w:t>
      </w:r>
      <w:r>
        <w:t xml:space="preserve">R. J. Hyndman</w:t>
      </w:r>
      <w:r>
        <w:t xml:space="preserve"> </w:t>
      </w:r>
      <w:r>
        <w:rPr>
          <w:i/>
          <w:iCs/>
        </w:rPr>
        <w:t xml:space="preserve">et al.</w:t>
      </w:r>
      <w:r>
        <w:t xml:space="preserve">,</w:t>
      </w:r>
      <w:r>
        <w:t xml:space="preserve"> </w:t>
      </w:r>
      <w:r>
        <w:rPr>
          <w:i/>
          <w:iCs/>
        </w:rPr>
        <w:t xml:space="preserve">Forecast: Forecasting functions for time series and linear models</w:t>
      </w:r>
      <w:r>
        <w:t xml:space="preserve">. 2026. Available:</w:t>
      </w:r>
      <w:r>
        <w:t xml:space="preserve"> </w:t>
      </w:r>
      <w:hyperlink r:id="rId41">
        <w:r>
          <w:rPr>
            <w:rStyle w:val="Hyperlink"/>
          </w:rPr>
          <w:t xml:space="preserve">https://pkg.robjhyndman.com/forecast/</w:t>
        </w:r>
      </w:hyperlink>
    </w:p>
    <w:bookmarkEnd w:id="42"/>
    <w:bookmarkStart w:id="44" w:name="ref-r-core-2026"/>
    <w:p>
      <w:pPr>
        <w:pStyle w:val="Bibliography"/>
      </w:pPr>
      <w:r>
        <w:t xml:space="preserve">[7]</w:t>
      </w:r>
      <w:r>
        <w:t xml:space="preserve"> </w:t>
      </w:r>
      <w:r>
        <w:t xml:space="preserve">	</w:t>
      </w:r>
      <w:r>
        <w:t xml:space="preserve">R Core Team,</w:t>
      </w:r>
      <w:r>
        <w:t xml:space="preserve"> </w:t>
      </w:r>
      <w:r>
        <w:rPr>
          <w:i/>
          <w:iCs/>
        </w:rPr>
        <w:t xml:space="preserve">R: A language and environment for statistical computing</w:t>
      </w:r>
      <w:r>
        <w:t xml:space="preserve">. Vienna, Austria: R Foundation for Statistical Computing, 2026. Available:</w:t>
      </w:r>
      <w:r>
        <w:t xml:space="preserve"> </w:t>
      </w:r>
      <w:hyperlink r:id="rId43">
        <w:r>
          <w:rPr>
            <w:rStyle w:val="Hyperlink"/>
          </w:rPr>
          <w:t xml:space="preserve">https://www.R-project.org/</w:t>
        </w:r>
      </w:hyperlink>
    </w:p>
    <w:bookmarkEnd w:id="44"/>
    <w:bookmarkEnd w:id="45"/>
    <w:bookmarkEnd w:id="46"/>
    <w:sectPr w:rsidR="00D7522C" w:rsidRPr="00CA4392" w:rsidSect="00E41015">
      <w:headerReference r:id="rId8" w:type="even"/>
      <w:headerReference r:id="rId9" w:type="default"/>
      <w:footerReference r:id="rId10" w:type="even"/>
      <w:footerReference r:id="rId11" w:type="default"/>
      <w:headerReference r:id="rId12" w:type="first"/>
      <w:footerReference r:id="rId13" w:type="first"/>
      <w:type w:val="continuous"/>
      <w:pgSz w:code="1" w:h="15840" w:w="12240"/>
      <w:pgMar w:bottom="1440" w:footer="720" w:gutter="0" w:header="720" w:left="893" w:right="893" w:top="1080"/>
      <w:cols w:num="2" w:space="36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NimbusRomNo9L-Regu">
    <w:altName w:val="Yu Gothic"/>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C890E" w14:textId="77777777" w:rsidR="00E41015" w:rsidRDefault="00E4101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6CC85" w14:textId="77777777" w:rsidR="00E41015" w:rsidRDefault="00E4101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21F62"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EAAFE" w14:textId="77777777" w:rsidR="00E41015" w:rsidRDefault="00E4101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9F4F3" w14:textId="77777777" w:rsidR="00E41015" w:rsidRDefault="00E4101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A3D8C" w14:textId="77777777" w:rsidR="00E41015" w:rsidRDefault="00E41015">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1D"/>
    <w:multiLevelType w:val="multilevel"/>
    <w:tmpl w:val="7A36CE9E"/>
    <w:lvl w:ilvl="0">
      <w:start w:val="1"/>
      <w:numFmt w:val="bullet"/>
      <w:lvlText w:val=""/>
      <w:lvlJc w:val="left"/>
      <w:pPr>
        <w:tabs>
          <w:tab w:pos="0" w:val="num"/>
        </w:tabs>
        <w:ind w:firstLine="0" w:left="0"/>
      </w:pPr>
      <w:rPr>
        <w:rFonts w:ascii="Symbol" w:hAnsi="Symbol" w:hint="default"/>
      </w:rPr>
    </w:lvl>
    <w:lvl w:ilvl="1">
      <w:start w:val="1"/>
      <w:numFmt w:val="bullet"/>
      <w:lvlText w:val=""/>
      <w:lvlJc w:val="left"/>
      <w:pPr>
        <w:tabs>
          <w:tab w:pos="720" w:val="num"/>
        </w:tabs>
        <w:ind w:hanging="360" w:left="1080"/>
      </w:pPr>
      <w:rPr>
        <w:rFonts w:ascii="Symbol" w:hAnsi="Symbol" w:hint="default"/>
      </w:rPr>
    </w:lvl>
    <w:lvl w:ilvl="2">
      <w:start w:val="1"/>
      <w:numFmt w:val="bullet"/>
      <w:lvlText w:val="o"/>
      <w:lvlJc w:val="left"/>
      <w:pPr>
        <w:tabs>
          <w:tab w:pos="1440" w:val="num"/>
        </w:tabs>
        <w:ind w:hanging="360" w:left="1800"/>
      </w:pPr>
      <w:rPr>
        <w:rFonts w:ascii="Courier New" w:cs="Courier New" w:hAnsi="Courier New" w:hint="default"/>
      </w:rPr>
    </w:lvl>
    <w:lvl w:ilvl="3">
      <w:start w:val="1"/>
      <w:numFmt w:val="bullet"/>
      <w:lvlText w:val=""/>
      <w:lvlJc w:val="left"/>
      <w:pPr>
        <w:tabs>
          <w:tab w:pos="2160" w:val="num"/>
        </w:tabs>
        <w:ind w:hanging="360" w:left="2520"/>
      </w:pPr>
      <w:rPr>
        <w:rFonts w:ascii="Wingdings" w:hAnsi="Wingdings" w:hint="default"/>
      </w:rPr>
    </w:lvl>
    <w:lvl w:ilvl="4">
      <w:start w:val="1"/>
      <w:numFmt w:val="bullet"/>
      <w:lvlText w:val=""/>
      <w:lvlJc w:val="left"/>
      <w:pPr>
        <w:tabs>
          <w:tab w:pos="2880" w:val="num"/>
        </w:tabs>
        <w:ind w:hanging="360" w:left="3240"/>
      </w:pPr>
      <w:rPr>
        <w:rFonts w:ascii="Wingdings" w:hAnsi="Wingdings" w:hint="default"/>
      </w:rPr>
    </w:lvl>
    <w:lvl w:ilvl="5">
      <w:start w:val="1"/>
      <w:numFmt w:val="bullet"/>
      <w:lvlText w:val=""/>
      <w:lvlJc w:val="left"/>
      <w:pPr>
        <w:tabs>
          <w:tab w:pos="3600" w:val="num"/>
        </w:tabs>
        <w:ind w:hanging="360" w:left="3960"/>
      </w:pPr>
      <w:rPr>
        <w:rFonts w:ascii="Symbol" w:hAnsi="Symbol" w:hint="default"/>
      </w:rPr>
    </w:lvl>
    <w:lvl w:ilvl="6">
      <w:start w:val="1"/>
      <w:numFmt w:val="bullet"/>
      <w:lvlText w:val="o"/>
      <w:lvlJc w:val="left"/>
      <w:pPr>
        <w:tabs>
          <w:tab w:pos="4320" w:val="num"/>
        </w:tabs>
        <w:ind w:hanging="360" w:left="4680"/>
      </w:pPr>
      <w:rPr>
        <w:rFonts w:ascii="Courier New" w:cs="Courier New" w:hAnsi="Courier New" w:hint="default"/>
      </w:rPr>
    </w:lvl>
    <w:lvl w:ilvl="7">
      <w:start w:val="1"/>
      <w:numFmt w:val="bullet"/>
      <w:lvlText w:val=""/>
      <w:lvlJc w:val="left"/>
      <w:pPr>
        <w:tabs>
          <w:tab w:pos="5040" w:val="num"/>
        </w:tabs>
        <w:ind w:hanging="360" w:left="5400"/>
      </w:pPr>
      <w:rPr>
        <w:rFonts w:ascii="Wingdings" w:hAnsi="Wingdings" w:hint="default"/>
      </w:rPr>
    </w:lvl>
    <w:lvl w:ilvl="8">
      <w:start w:val="1"/>
      <w:numFmt w:val="bullet"/>
      <w:lvlText w:val=""/>
      <w:lvlJc w:val="left"/>
      <w:pPr>
        <w:tabs>
          <w:tab w:pos="5760" w:val="num"/>
        </w:tabs>
        <w:ind w:hanging="360" w:left="6120"/>
      </w:pPr>
      <w:rPr>
        <w:rFonts w:ascii="Wingdings" w:hAnsi="Wingdings" w:hint="default"/>
      </w:rPr>
    </w:lvl>
  </w:abstractNum>
  <w:abstractNum w15:restartNumberingAfterBreak="0" w:abstractNumId="1">
    <w:nsid w:val="FFFFFF7C"/>
    <w:multiLevelType w:val="singleLevel"/>
    <w:tmpl w:val="DD629BEE"/>
    <w:lvl w:ilvl="0">
      <w:start w:val="1"/>
      <w:numFmt w:val="decimal"/>
      <w:lvlText w:val="%1."/>
      <w:lvlJc w:val="left"/>
      <w:pPr>
        <w:tabs>
          <w:tab w:pos="1492" w:val="num"/>
        </w:tabs>
        <w:ind w:hanging="360" w:left="1492"/>
      </w:pPr>
    </w:lvl>
  </w:abstractNum>
  <w:abstractNum w15:restartNumberingAfterBreak="0" w:abstractNumId="2">
    <w:nsid w:val="FFFFFF7D"/>
    <w:multiLevelType w:val="singleLevel"/>
    <w:tmpl w:val="2648E1C4"/>
    <w:lvl w:ilvl="0">
      <w:start w:val="1"/>
      <w:numFmt w:val="decimal"/>
      <w:lvlText w:val="%1."/>
      <w:lvlJc w:val="left"/>
      <w:pPr>
        <w:tabs>
          <w:tab w:pos="1209" w:val="num"/>
        </w:tabs>
        <w:ind w:hanging="360" w:left="1209"/>
      </w:pPr>
    </w:lvl>
  </w:abstractNum>
  <w:abstractNum w15:restartNumberingAfterBreak="0" w:abstractNumId="3">
    <w:nsid w:val="FFFFFF7E"/>
    <w:multiLevelType w:val="singleLevel"/>
    <w:tmpl w:val="9D38DB54"/>
    <w:lvl w:ilvl="0">
      <w:start w:val="1"/>
      <w:numFmt w:val="decimal"/>
      <w:lvlText w:val="%1."/>
      <w:lvlJc w:val="left"/>
      <w:pPr>
        <w:tabs>
          <w:tab w:pos="926" w:val="num"/>
        </w:tabs>
        <w:ind w:hanging="360" w:left="926"/>
      </w:pPr>
    </w:lvl>
  </w:abstractNum>
  <w:abstractNum w15:restartNumberingAfterBreak="0" w:abstractNumId="4">
    <w:nsid w:val="FFFFFF7F"/>
    <w:multiLevelType w:val="singleLevel"/>
    <w:tmpl w:val="632C24E2"/>
    <w:lvl w:ilvl="0">
      <w:start w:val="1"/>
      <w:numFmt w:val="decimal"/>
      <w:lvlText w:val="%1."/>
      <w:lvlJc w:val="left"/>
      <w:pPr>
        <w:tabs>
          <w:tab w:pos="643" w:val="num"/>
        </w:tabs>
        <w:ind w:hanging="360" w:left="643"/>
      </w:pPr>
    </w:lvl>
  </w:abstractNum>
  <w:abstractNum w15:restartNumberingAfterBreak="0" w:abstractNumId="5">
    <w:nsid w:val="FFFFFF80"/>
    <w:multiLevelType w:val="singleLevel"/>
    <w:tmpl w:val="82268A14"/>
    <w:lvl w:ilvl="0">
      <w:start w:val="1"/>
      <w:numFmt w:val="bullet"/>
      <w:lvlText w:val=""/>
      <w:lvlJc w:val="left"/>
      <w:pPr>
        <w:tabs>
          <w:tab w:pos="1492" w:val="num"/>
        </w:tabs>
        <w:ind w:hanging="360" w:left="1492"/>
      </w:pPr>
      <w:rPr>
        <w:rFonts w:ascii="Symbol" w:hAnsi="Symbol" w:hint="default"/>
      </w:rPr>
    </w:lvl>
  </w:abstractNum>
  <w:abstractNum w15:restartNumberingAfterBreak="0" w:abstractNumId="6">
    <w:nsid w:val="FFFFFF81"/>
    <w:multiLevelType w:val="singleLevel"/>
    <w:tmpl w:val="8C0E77FE"/>
    <w:lvl w:ilvl="0">
      <w:start w:val="1"/>
      <w:numFmt w:val="bullet"/>
      <w:lvlText w:val=""/>
      <w:lvlJc w:val="left"/>
      <w:pPr>
        <w:tabs>
          <w:tab w:pos="1209" w:val="num"/>
        </w:tabs>
        <w:ind w:hanging="360" w:left="1209"/>
      </w:pPr>
      <w:rPr>
        <w:rFonts w:ascii="Symbol" w:hAnsi="Symbol" w:hint="default"/>
      </w:rPr>
    </w:lvl>
  </w:abstractNum>
  <w:abstractNum w15:restartNumberingAfterBreak="0" w:abstractNumId="7">
    <w:nsid w:val="FFFFFF82"/>
    <w:multiLevelType w:val="singleLevel"/>
    <w:tmpl w:val="174639B8"/>
    <w:lvl w:ilvl="0">
      <w:start w:val="1"/>
      <w:numFmt w:val="bullet"/>
      <w:lvlText w:val=""/>
      <w:lvlJc w:val="left"/>
      <w:pPr>
        <w:tabs>
          <w:tab w:pos="926" w:val="num"/>
        </w:tabs>
        <w:ind w:hanging="360" w:left="926"/>
      </w:pPr>
      <w:rPr>
        <w:rFonts w:ascii="Symbol" w:hAnsi="Symbol" w:hint="default"/>
      </w:rPr>
    </w:lvl>
  </w:abstractNum>
  <w:abstractNum w15:restartNumberingAfterBreak="0" w:abstractNumId="8">
    <w:nsid w:val="FFFFFF83"/>
    <w:multiLevelType w:val="singleLevel"/>
    <w:tmpl w:val="B1ACC408"/>
    <w:lvl w:ilvl="0">
      <w:start w:val="1"/>
      <w:numFmt w:val="bullet"/>
      <w:lvlText w:val=""/>
      <w:lvlJc w:val="left"/>
      <w:pPr>
        <w:tabs>
          <w:tab w:pos="643" w:val="num"/>
        </w:tabs>
        <w:ind w:hanging="360" w:left="643"/>
      </w:pPr>
      <w:rPr>
        <w:rFonts w:ascii="Symbol" w:hAnsi="Symbol" w:hint="default"/>
      </w:rPr>
    </w:lvl>
  </w:abstractNum>
  <w:abstractNum w15:restartNumberingAfterBreak="0" w:abstractNumId="9">
    <w:nsid w:val="FFFFFF88"/>
    <w:multiLevelType w:val="singleLevel"/>
    <w:tmpl w:val="229E8DFE"/>
    <w:lvl w:ilvl="0">
      <w:start w:val="1"/>
      <w:numFmt w:val="decimal"/>
      <w:lvlText w:val="%1."/>
      <w:lvlJc w:val="left"/>
      <w:pPr>
        <w:tabs>
          <w:tab w:pos="360" w:val="num"/>
        </w:tabs>
        <w:ind w:hanging="360" w:left="360"/>
      </w:pPr>
    </w:lvl>
  </w:abstractNum>
  <w:abstractNum w15:restartNumberingAfterBreak="0" w:abstractNumId="10">
    <w:nsid w:val="FFFFFF89"/>
    <w:multiLevelType w:val="singleLevel"/>
    <w:tmpl w:val="EA847AFE"/>
    <w:lvl w:ilvl="0">
      <w:start w:val="1"/>
      <w:numFmt w:val="bullet"/>
      <w:lvlText w:val=""/>
      <w:lvlJc w:val="left"/>
      <w:pPr>
        <w:tabs>
          <w:tab w:pos="360" w:val="num"/>
        </w:tabs>
        <w:ind w:hanging="360" w:left="360"/>
      </w:pPr>
      <w:rPr>
        <w:rFonts w:ascii="Symbol" w:hAnsi="Symbol" w:hint="default"/>
      </w:rPr>
    </w:lvl>
  </w:abstractNum>
  <w:abstractNum w15:restartNumberingAfterBreak="0" w:abstractNumId="11">
    <w:nsid w:val="1E177E97"/>
    <w:multiLevelType w:val="hybridMultilevel"/>
    <w:tmpl w:val="A6463BCE"/>
    <w:lvl w:ilvl="0" w:tplc="04140013">
      <w:start w:val="1"/>
      <w:numFmt w:val="upperRoman"/>
      <w:lvlText w:val="%1."/>
      <w:lvlJc w:val="right"/>
      <w:pPr>
        <w:ind w:hanging="360" w:left="936"/>
      </w:pPr>
    </w:lvl>
    <w:lvl w:ilvl="1" w:tentative="1" w:tplc="04140019">
      <w:start w:val="1"/>
      <w:numFmt w:val="lowerLetter"/>
      <w:lvlText w:val="%2."/>
      <w:lvlJc w:val="left"/>
      <w:pPr>
        <w:ind w:hanging="360" w:left="1656"/>
      </w:pPr>
    </w:lvl>
    <w:lvl w:ilvl="2" w:tentative="1" w:tplc="0414001B">
      <w:start w:val="1"/>
      <w:numFmt w:val="lowerRoman"/>
      <w:lvlText w:val="%3."/>
      <w:lvlJc w:val="right"/>
      <w:pPr>
        <w:ind w:hanging="180" w:left="2376"/>
      </w:pPr>
    </w:lvl>
    <w:lvl w:ilvl="3" w:tentative="1" w:tplc="0414000F">
      <w:start w:val="1"/>
      <w:numFmt w:val="decimal"/>
      <w:lvlText w:val="%4."/>
      <w:lvlJc w:val="left"/>
      <w:pPr>
        <w:ind w:hanging="360" w:left="3096"/>
      </w:pPr>
    </w:lvl>
    <w:lvl w:ilvl="4" w:tentative="1" w:tplc="04140019">
      <w:start w:val="1"/>
      <w:numFmt w:val="lowerLetter"/>
      <w:lvlText w:val="%5."/>
      <w:lvlJc w:val="left"/>
      <w:pPr>
        <w:ind w:hanging="360" w:left="3816"/>
      </w:pPr>
    </w:lvl>
    <w:lvl w:ilvl="5" w:tentative="1" w:tplc="0414001B">
      <w:start w:val="1"/>
      <w:numFmt w:val="lowerRoman"/>
      <w:lvlText w:val="%6."/>
      <w:lvlJc w:val="right"/>
      <w:pPr>
        <w:ind w:hanging="180" w:left="4536"/>
      </w:pPr>
    </w:lvl>
    <w:lvl w:ilvl="6" w:tentative="1" w:tplc="0414000F">
      <w:start w:val="1"/>
      <w:numFmt w:val="decimal"/>
      <w:lvlText w:val="%7."/>
      <w:lvlJc w:val="left"/>
      <w:pPr>
        <w:ind w:hanging="360" w:left="5256"/>
      </w:pPr>
    </w:lvl>
    <w:lvl w:ilvl="7" w:tentative="1" w:tplc="04140019">
      <w:start w:val="1"/>
      <w:numFmt w:val="lowerLetter"/>
      <w:lvlText w:val="%8."/>
      <w:lvlJc w:val="left"/>
      <w:pPr>
        <w:ind w:hanging="360" w:left="5976"/>
      </w:pPr>
    </w:lvl>
    <w:lvl w:ilvl="8" w:tentative="1" w:tplc="0414001B">
      <w:start w:val="1"/>
      <w:numFmt w:val="lowerRoman"/>
      <w:lvlText w:val="%9."/>
      <w:lvlJc w:val="right"/>
      <w:pPr>
        <w:ind w:hanging="180" w:left="6696"/>
      </w:pPr>
    </w:lvl>
  </w:abstractNum>
  <w:abstractNum w15:restartNumberingAfterBreak="0" w:abstractNumId="12">
    <w:nsid w:val="20AF0333"/>
    <w:multiLevelType w:val="hybridMultilevel"/>
    <w:tmpl w:val="CB0E7F4E"/>
    <w:lvl w:ilvl="0" w:tplc="E09099E0">
      <w:start w:val="1"/>
      <w:numFmt w:val="lowerLetter"/>
      <w:lvlText w:val="%1."/>
      <w:lvlJc w:val="left"/>
      <w:pPr>
        <w:tabs>
          <w:tab w:pos="720" w:val="num"/>
        </w:tabs>
        <w:ind w:hanging="360" w:left="720"/>
      </w:pPr>
      <w:rPr>
        <w:rFonts w:cs="Times New Roman" w:hint="default"/>
        <w:i w:val="0"/>
        <w:iCs w:val="0"/>
      </w:rPr>
    </w:lvl>
    <w:lvl w:ilvl="1" w:tplc="04090019">
      <w:start w:val="1"/>
      <w:numFmt w:val="lowerLetter"/>
      <w:lvlText w:val="%2."/>
      <w:lvlJc w:val="left"/>
      <w:pPr>
        <w:tabs>
          <w:tab w:pos="1440" w:val="num"/>
        </w:tabs>
        <w:ind w:hanging="360" w:left="1440"/>
      </w:pPr>
      <w:rPr>
        <w:rFonts w:cs="Times New Roman"/>
      </w:rPr>
    </w:lvl>
    <w:lvl w:ilvl="2" w:tplc="0409001B">
      <w:start w:val="1"/>
      <w:numFmt w:val="lowerRoman"/>
      <w:lvlText w:val="%3."/>
      <w:lvlJc w:val="right"/>
      <w:pPr>
        <w:tabs>
          <w:tab w:pos="2160" w:val="num"/>
        </w:tabs>
        <w:ind w:hanging="180" w:left="2160"/>
      </w:pPr>
      <w:rPr>
        <w:rFonts w:cs="Times New Roman"/>
      </w:rPr>
    </w:lvl>
    <w:lvl w:ilvl="3" w:tplc="0409000F">
      <w:start w:val="1"/>
      <w:numFmt w:val="decimal"/>
      <w:lvlText w:val="%4."/>
      <w:lvlJc w:val="left"/>
      <w:pPr>
        <w:tabs>
          <w:tab w:pos="2880" w:val="num"/>
        </w:tabs>
        <w:ind w:hanging="360" w:left="2880"/>
      </w:pPr>
      <w:rPr>
        <w:rFonts w:cs="Times New Roman"/>
      </w:rPr>
    </w:lvl>
    <w:lvl w:ilvl="4" w:tplc="04090019">
      <w:start w:val="1"/>
      <w:numFmt w:val="lowerLetter"/>
      <w:lvlText w:val="%5."/>
      <w:lvlJc w:val="left"/>
      <w:pPr>
        <w:tabs>
          <w:tab w:pos="3600" w:val="num"/>
        </w:tabs>
        <w:ind w:hanging="360" w:left="3600"/>
      </w:pPr>
      <w:rPr>
        <w:rFonts w:cs="Times New Roman"/>
      </w:rPr>
    </w:lvl>
    <w:lvl w:ilvl="5" w:tplc="0409001B">
      <w:start w:val="1"/>
      <w:numFmt w:val="lowerRoman"/>
      <w:lvlText w:val="%6."/>
      <w:lvlJc w:val="right"/>
      <w:pPr>
        <w:tabs>
          <w:tab w:pos="4320" w:val="num"/>
        </w:tabs>
        <w:ind w:hanging="180" w:left="4320"/>
      </w:pPr>
      <w:rPr>
        <w:rFonts w:cs="Times New Roman"/>
      </w:rPr>
    </w:lvl>
    <w:lvl w:ilvl="6" w:tplc="0409000F">
      <w:start w:val="1"/>
      <w:numFmt w:val="decimal"/>
      <w:lvlText w:val="%7."/>
      <w:lvlJc w:val="left"/>
      <w:pPr>
        <w:tabs>
          <w:tab w:pos="5040" w:val="num"/>
        </w:tabs>
        <w:ind w:hanging="360" w:left="5040"/>
      </w:pPr>
      <w:rPr>
        <w:rFonts w:cs="Times New Roman"/>
      </w:rPr>
    </w:lvl>
    <w:lvl w:ilvl="7" w:tplc="04090019">
      <w:start w:val="1"/>
      <w:numFmt w:val="lowerLetter"/>
      <w:lvlText w:val="%8."/>
      <w:lvlJc w:val="left"/>
      <w:pPr>
        <w:tabs>
          <w:tab w:pos="5760" w:val="num"/>
        </w:tabs>
        <w:ind w:hanging="360" w:left="5760"/>
      </w:pPr>
      <w:rPr>
        <w:rFonts w:cs="Times New Roman"/>
      </w:rPr>
    </w:lvl>
    <w:lvl w:ilvl="8" w:tplc="0409001B">
      <w:start w:val="1"/>
      <w:numFmt w:val="lowerRoman"/>
      <w:lvlText w:val="%9."/>
      <w:lvlJc w:val="right"/>
      <w:pPr>
        <w:tabs>
          <w:tab w:pos="6480" w:val="num"/>
        </w:tabs>
        <w:ind w:hanging="180" w:left="6480"/>
      </w:pPr>
      <w:rPr>
        <w:rFonts w:cs="Times New Roman"/>
      </w:rPr>
    </w:lvl>
  </w:abstractNum>
  <w:abstractNum w15:restartNumberingAfterBreak="0" w:abstractNumId="13">
    <w:nsid w:val="26FE1FCF"/>
    <w:multiLevelType w:val="hybridMultilevel"/>
    <w:tmpl w:val="33826962"/>
    <w:lvl w:ilvl="0" w:tplc="A2947960">
      <w:start w:val="1"/>
      <w:numFmt w:val="decimal"/>
      <w:pStyle w:val="footnote"/>
      <w:lvlText w:val="%1 "/>
      <w:lvlJc w:val="left"/>
      <w:pPr>
        <w:tabs>
          <w:tab w:pos="648" w:val="num"/>
        </w:tabs>
        <w:ind w:firstLine="288"/>
      </w:pPr>
      <w:rPr>
        <w:rFonts w:ascii="Times New Roman" w:cs="Times New Roman" w:hAnsi="Times New Roman" w:hint="default"/>
        <w:b w:val="0"/>
        <w:bCs w:val="0"/>
        <w:i w:val="0"/>
        <w:iCs w:val="0"/>
        <w:caps w:val="0"/>
        <w:strike w:val="0"/>
        <w:dstrike w:val="0"/>
        <w:vanish w:val="0"/>
        <w:color w:val="000000"/>
        <w:sz w:val="16"/>
        <w:szCs w:val="16"/>
        <w:vertAlign w:val="superscript"/>
        <w14:shadow w14:algn="none" w14:blurRad="0" w14:dir="0" w14:dist="0" w14:kx="0" w14:ky="0" w14:sx="0" w14:sy="0">
          <w14:srgbClr w14:val="000000"/>
        </w14:shadow>
        <w14:textOutline w14:algn="ctr" w14:cap="rnd" w14:cmpd="sng" w14:w="0">
          <w14:noFill/>
          <w14:prstDash w14:val="solid"/>
          <w14:bevel/>
        </w14:textOutline>
      </w:rPr>
    </w:lvl>
    <w:lvl w:ilvl="1" w:tplc="04090019">
      <w:start w:val="1"/>
      <w:numFmt w:val="lowerLetter"/>
      <w:lvlText w:val="%2."/>
      <w:lvlJc w:val="left"/>
      <w:pPr>
        <w:tabs>
          <w:tab w:pos="1440" w:val="num"/>
        </w:tabs>
        <w:ind w:hanging="360" w:left="1440"/>
      </w:pPr>
      <w:rPr>
        <w:rFonts w:cs="Times New Roman"/>
      </w:rPr>
    </w:lvl>
    <w:lvl w:ilvl="2" w:tplc="0409001B">
      <w:start w:val="1"/>
      <w:numFmt w:val="lowerRoman"/>
      <w:lvlText w:val="%3."/>
      <w:lvlJc w:val="right"/>
      <w:pPr>
        <w:tabs>
          <w:tab w:pos="2160" w:val="num"/>
        </w:tabs>
        <w:ind w:hanging="180" w:left="2160"/>
      </w:pPr>
      <w:rPr>
        <w:rFonts w:cs="Times New Roman"/>
      </w:rPr>
    </w:lvl>
    <w:lvl w:ilvl="3" w:tplc="0409000F">
      <w:start w:val="1"/>
      <w:numFmt w:val="decimal"/>
      <w:lvlText w:val="%4."/>
      <w:lvlJc w:val="left"/>
      <w:pPr>
        <w:tabs>
          <w:tab w:pos="2880" w:val="num"/>
        </w:tabs>
        <w:ind w:hanging="360" w:left="2880"/>
      </w:pPr>
      <w:rPr>
        <w:rFonts w:cs="Times New Roman"/>
      </w:rPr>
    </w:lvl>
    <w:lvl w:ilvl="4" w:tplc="04090019">
      <w:start w:val="1"/>
      <w:numFmt w:val="lowerLetter"/>
      <w:lvlText w:val="%5."/>
      <w:lvlJc w:val="left"/>
      <w:pPr>
        <w:tabs>
          <w:tab w:pos="3600" w:val="num"/>
        </w:tabs>
        <w:ind w:hanging="360" w:left="3600"/>
      </w:pPr>
      <w:rPr>
        <w:rFonts w:cs="Times New Roman"/>
      </w:rPr>
    </w:lvl>
    <w:lvl w:ilvl="5" w:tplc="0409001B">
      <w:start w:val="1"/>
      <w:numFmt w:val="lowerRoman"/>
      <w:lvlText w:val="%6."/>
      <w:lvlJc w:val="right"/>
      <w:pPr>
        <w:tabs>
          <w:tab w:pos="4320" w:val="num"/>
        </w:tabs>
        <w:ind w:hanging="180" w:left="4320"/>
      </w:pPr>
      <w:rPr>
        <w:rFonts w:cs="Times New Roman"/>
      </w:rPr>
    </w:lvl>
    <w:lvl w:ilvl="6" w:tplc="0409000F">
      <w:start w:val="1"/>
      <w:numFmt w:val="decimal"/>
      <w:lvlText w:val="%7."/>
      <w:lvlJc w:val="left"/>
      <w:pPr>
        <w:tabs>
          <w:tab w:pos="5040" w:val="num"/>
        </w:tabs>
        <w:ind w:hanging="360" w:left="5040"/>
      </w:pPr>
      <w:rPr>
        <w:rFonts w:cs="Times New Roman"/>
      </w:rPr>
    </w:lvl>
    <w:lvl w:ilvl="7" w:tplc="04090019">
      <w:start w:val="1"/>
      <w:numFmt w:val="lowerLetter"/>
      <w:lvlText w:val="%8."/>
      <w:lvlJc w:val="left"/>
      <w:pPr>
        <w:tabs>
          <w:tab w:pos="5760" w:val="num"/>
        </w:tabs>
        <w:ind w:hanging="360" w:left="5760"/>
      </w:pPr>
      <w:rPr>
        <w:rFonts w:cs="Times New Roman"/>
      </w:rPr>
    </w:lvl>
    <w:lvl w:ilvl="8" w:tplc="0409001B">
      <w:start w:val="1"/>
      <w:numFmt w:val="lowerRoman"/>
      <w:lvlText w:val="%9."/>
      <w:lvlJc w:val="right"/>
      <w:pPr>
        <w:tabs>
          <w:tab w:pos="6480" w:val="num"/>
        </w:tabs>
        <w:ind w:hanging="180" w:left="6480"/>
      </w:pPr>
      <w:rPr>
        <w:rFonts w:cs="Times New Roman"/>
      </w:rPr>
    </w:lvl>
  </w:abstractNum>
  <w:abstractNum w15:restartNumberingAfterBreak="0" w:abstractNumId="14">
    <w:nsid w:val="37660336"/>
    <w:multiLevelType w:val="hybridMultilevel"/>
    <w:tmpl w:val="754EAC84"/>
    <w:lvl w:ilvl="0" w:tplc="C46877EA">
      <w:start w:val="1"/>
      <w:numFmt w:val="bullet"/>
      <w:pStyle w:val="bulletlist"/>
      <w:lvlText w:val=""/>
      <w:lvlJc w:val="left"/>
      <w:pPr>
        <w:tabs>
          <w:tab w:pos="648" w:val="num"/>
        </w:tabs>
        <w:ind w:hanging="360" w:left="648"/>
      </w:pPr>
      <w:rPr>
        <w:rFonts w:ascii="Symbol" w:hAnsi="Symbol" w:hint="default"/>
      </w:rPr>
    </w:lvl>
    <w:lvl w:ilvl="1" w:tplc="04090003">
      <w:start w:val="1"/>
      <w:numFmt w:val="bullet"/>
      <w:lvlText w:val="o"/>
      <w:lvlJc w:val="left"/>
      <w:pPr>
        <w:tabs>
          <w:tab w:pos="1440" w:val="num"/>
        </w:tabs>
        <w:ind w:hanging="360" w:left="1440"/>
      </w:pPr>
      <w:rPr>
        <w:rFonts w:ascii="Courier New" w:hAnsi="Courier New" w:hint="default"/>
      </w:rPr>
    </w:lvl>
    <w:lvl w:ilvl="2" w:tplc="04090005">
      <w:start w:val="1"/>
      <w:numFmt w:val="bullet"/>
      <w:lvlText w:val=""/>
      <w:lvlJc w:val="left"/>
      <w:pPr>
        <w:tabs>
          <w:tab w:pos="2160" w:val="num"/>
        </w:tabs>
        <w:ind w:hanging="360" w:left="2160"/>
      </w:pPr>
      <w:rPr>
        <w:rFonts w:ascii="Wingdings" w:hAnsi="Wingdings" w:hint="default"/>
      </w:rPr>
    </w:lvl>
    <w:lvl w:ilvl="3" w:tplc="04090001">
      <w:start w:val="1"/>
      <w:numFmt w:val="bullet"/>
      <w:lvlText w:val=""/>
      <w:lvlJc w:val="left"/>
      <w:pPr>
        <w:tabs>
          <w:tab w:pos="2880" w:val="num"/>
        </w:tabs>
        <w:ind w:hanging="360" w:left="2880"/>
      </w:pPr>
      <w:rPr>
        <w:rFonts w:ascii="Symbol" w:hAnsi="Symbol" w:hint="default"/>
      </w:rPr>
    </w:lvl>
    <w:lvl w:ilvl="4" w:tplc="04090003">
      <w:start w:val="1"/>
      <w:numFmt w:val="bullet"/>
      <w:lvlText w:val="o"/>
      <w:lvlJc w:val="left"/>
      <w:pPr>
        <w:tabs>
          <w:tab w:pos="3600" w:val="num"/>
        </w:tabs>
        <w:ind w:hanging="360" w:left="3600"/>
      </w:pPr>
      <w:rPr>
        <w:rFonts w:ascii="Courier New" w:hAnsi="Courier New" w:hint="default"/>
      </w:rPr>
    </w:lvl>
    <w:lvl w:ilvl="5" w:tplc="04090005">
      <w:start w:val="1"/>
      <w:numFmt w:val="bullet"/>
      <w:lvlText w:val=""/>
      <w:lvlJc w:val="left"/>
      <w:pPr>
        <w:tabs>
          <w:tab w:pos="4320" w:val="num"/>
        </w:tabs>
        <w:ind w:hanging="360" w:left="4320"/>
      </w:pPr>
      <w:rPr>
        <w:rFonts w:ascii="Wingdings" w:hAnsi="Wingdings" w:hint="default"/>
      </w:rPr>
    </w:lvl>
    <w:lvl w:ilvl="6" w:tplc="04090001">
      <w:start w:val="1"/>
      <w:numFmt w:val="bullet"/>
      <w:lvlText w:val=""/>
      <w:lvlJc w:val="left"/>
      <w:pPr>
        <w:tabs>
          <w:tab w:pos="5040" w:val="num"/>
        </w:tabs>
        <w:ind w:hanging="360" w:left="5040"/>
      </w:pPr>
      <w:rPr>
        <w:rFonts w:ascii="Symbol" w:hAnsi="Symbol" w:hint="default"/>
      </w:rPr>
    </w:lvl>
    <w:lvl w:ilvl="7" w:tplc="04090003">
      <w:start w:val="1"/>
      <w:numFmt w:val="bullet"/>
      <w:lvlText w:val="o"/>
      <w:lvlJc w:val="left"/>
      <w:pPr>
        <w:tabs>
          <w:tab w:pos="5760" w:val="num"/>
        </w:tabs>
        <w:ind w:hanging="360" w:left="5760"/>
      </w:pPr>
      <w:rPr>
        <w:rFonts w:ascii="Courier New" w:hAnsi="Courier New" w:hint="default"/>
      </w:rPr>
    </w:lvl>
    <w:lvl w:ilvl="8" w:tplc="04090005">
      <w:start w:val="1"/>
      <w:numFmt w:val="bullet"/>
      <w:lvlText w:val=""/>
      <w:lvlJc w:val="left"/>
      <w:pPr>
        <w:tabs>
          <w:tab w:pos="6480" w:val="num"/>
        </w:tabs>
        <w:ind w:hanging="360" w:left="6480"/>
      </w:pPr>
      <w:rPr>
        <w:rFonts w:ascii="Wingdings" w:hAnsi="Wingdings" w:hint="default"/>
      </w:rPr>
    </w:lvl>
  </w:abstractNum>
  <w:abstractNum w15:restartNumberingAfterBreak="0" w:abstractNumId="15">
    <w:nsid w:val="39E54FC6"/>
    <w:multiLevelType w:val="singleLevel"/>
    <w:tmpl w:val="5B7288D4"/>
    <w:lvl w:ilvl="0">
      <w:start w:val="14"/>
      <w:numFmt w:val="decimal"/>
      <w:lvlText w:val="%1"/>
      <w:lvlJc w:val="left"/>
      <w:pPr>
        <w:tabs>
          <w:tab w:pos="720" w:val="num"/>
        </w:tabs>
        <w:ind w:hanging="360" w:left="720"/>
      </w:pPr>
      <w:rPr>
        <w:rFonts w:cs="Times New Roman" w:hint="default"/>
      </w:rPr>
    </w:lvl>
  </w:abstractNum>
  <w:abstractNum w15:restartNumberingAfterBreak="0" w:abstractNumId="16">
    <w:nsid w:val="4189603E"/>
    <w:multiLevelType w:val="multilevel"/>
    <w:tmpl w:val="0AB06E12"/>
    <w:lvl w:ilvl="0">
      <w:start w:val="1"/>
      <w:numFmt w:val="upperRoman"/>
      <w:pStyle w:val="Heading1"/>
      <w:lvlText w:val="%1."/>
      <w:lvlJc w:val="center"/>
      <w:pPr>
        <w:tabs>
          <w:tab w:pos="576" w:val="num"/>
        </w:tabs>
        <w:ind w:firstLine="216"/>
      </w:pPr>
      <w:rPr>
        <w:rFonts w:ascii="Times New Roman" w:cs="Times New Roman" w:hAnsi="Times New Roman" w:hint="default"/>
        <w:caps w:val="0"/>
        <w:strike w:val="0"/>
        <w:dstrike w:val="0"/>
        <w:vanish w:val="0"/>
        <w:color w:val="auto"/>
        <w:sz w:val="20"/>
        <w:szCs w:val="20"/>
        <w:vertAlign w:val="baseline"/>
        <w14:shadow w14:algn="none" w14:blurRad="0" w14:dir="0" w14:dist="0" w14:kx="0" w14:ky="0" w14:sx="0" w14:sy="0">
          <w14:srgbClr w14:val="000000"/>
        </w14:shadow>
        <w14:textOutline w14:algn="ctr" w14:cap="rnd" w14:cmpd="sng" w14:w="0">
          <w14:noFill/>
          <w14:prstDash w14:val="solid"/>
          <w14:bevel/>
        </w14:textOutline>
      </w:rPr>
    </w:lvl>
    <w:lvl w:ilvl="1">
      <w:start w:val="1"/>
      <w:numFmt w:val="upperLetter"/>
      <w:pStyle w:val="Heading2"/>
      <w:lvlText w:val="%2."/>
      <w:lvlJc w:val="left"/>
      <w:pPr>
        <w:tabs>
          <w:tab w:pos="360" w:val="num"/>
        </w:tabs>
        <w:ind w:hanging="288" w:left="288"/>
      </w:pPr>
      <w:rPr>
        <w:rFonts w:ascii="Times New Roman" w:cs="Times New Roman" w:hAnsi="Times New Roman" w:hint="default"/>
        <w:b w:val="0"/>
        <w:bCs w:val="0"/>
        <w:i/>
        <w:iCs/>
        <w:caps w:val="0"/>
        <w:strike w:val="0"/>
        <w:dstrike w:val="0"/>
        <w:vanish w:val="0"/>
        <w:color w:val="auto"/>
        <w:sz w:val="20"/>
        <w:szCs w:val="20"/>
        <w:vertAlign w:val="baseline"/>
        <w14:shadow w14:algn="none" w14:blurRad="0" w14:dir="0" w14:dist="0" w14:kx="0" w14:ky="0" w14:sx="0" w14:sy="0">
          <w14:srgbClr w14:val="000000"/>
        </w14:shadow>
        <w14:textOutline w14:algn="ctr" w14:cap="rnd" w14:cmpd="sng" w14:w="0">
          <w14:noFill/>
          <w14:prstDash w14:val="solid"/>
          <w14:bevel/>
        </w14:textOutline>
      </w:rPr>
    </w:lvl>
    <w:lvl w:ilvl="2">
      <w:start w:val="1"/>
      <w:numFmt w:val="decimal"/>
      <w:pStyle w:val="Heading3"/>
      <w:lvlText w:val="%3)"/>
      <w:lvlJc w:val="left"/>
      <w:pPr>
        <w:tabs>
          <w:tab w:pos="540" w:val="num"/>
        </w:tabs>
        <w:ind w:firstLine="180"/>
      </w:pPr>
      <w:rPr>
        <w:rFonts w:ascii="Times New Roman" w:cs="Times New Roman" w:hAnsi="Times New Roman" w:hint="default"/>
        <w:b w:val="0"/>
        <w:bCs w:val="0"/>
        <w:i/>
        <w:iCs/>
        <w:caps w:val="0"/>
        <w:strike w:val="0"/>
        <w:dstrike w:val="0"/>
        <w:vanish w:val="0"/>
        <w:color w:val="auto"/>
        <w:sz w:val="20"/>
        <w:szCs w:val="20"/>
        <w:vertAlign w:val="baseline"/>
        <w14:shadow w14:algn="none" w14:blurRad="0" w14:dir="0" w14:dist="0" w14:kx="0" w14:ky="0" w14:sx="0" w14:sy="0">
          <w14:srgbClr w14:val="000000"/>
        </w14:shadow>
        <w14:textOutline w14:algn="ctr" w14:cap="rnd" w14:cmpd="sng" w14:w="0">
          <w14:noFill/>
          <w14:prstDash w14:val="solid"/>
          <w14:bevel/>
        </w14:textOutline>
      </w:rPr>
    </w:lvl>
    <w:lvl w:ilvl="3">
      <w:start w:val="1"/>
      <w:numFmt w:val="lowerLetter"/>
      <w:pStyle w:val="Heading4"/>
      <w:lvlText w:val="%4)"/>
      <w:lvlJc w:val="left"/>
      <w:pPr>
        <w:tabs>
          <w:tab w:pos="630" w:val="num"/>
        </w:tabs>
        <w:ind w:firstLine="360"/>
      </w:pPr>
      <w:rPr>
        <w:rFonts w:ascii="Times New Roman" w:cs="Times New Roman" w:hAnsi="Times New Roman" w:hint="default"/>
        <w:b w:val="0"/>
        <w:bCs w:val="0"/>
        <w:i/>
        <w:iCs/>
        <w:sz w:val="20"/>
        <w:szCs w:val="20"/>
      </w:rPr>
    </w:lvl>
    <w:lvl w:ilvl="4">
      <w:start w:val="1"/>
      <w:numFmt w:val="none"/>
      <w:lvlRestart w:val="0"/>
      <w:lvlText w:val=""/>
      <w:lvlJc w:val="left"/>
      <w:pPr>
        <w:tabs>
          <w:tab w:pos="3240" w:val="num"/>
        </w:tabs>
        <w:ind w:left="2880"/>
      </w:pPr>
      <w:rPr>
        <w:rFonts w:cs="Times New Roman" w:hint="default"/>
      </w:rPr>
    </w:lvl>
    <w:lvl w:ilvl="5">
      <w:start w:val="1"/>
      <w:numFmt w:val="lowerLetter"/>
      <w:lvlText w:val="(%6)"/>
      <w:lvlJc w:val="left"/>
      <w:pPr>
        <w:tabs>
          <w:tab w:pos="3960" w:val="num"/>
        </w:tabs>
        <w:ind w:left="3600"/>
      </w:pPr>
      <w:rPr>
        <w:rFonts w:cs="Times New Roman" w:hint="default"/>
      </w:rPr>
    </w:lvl>
    <w:lvl w:ilvl="6">
      <w:start w:val="1"/>
      <w:numFmt w:val="lowerRoman"/>
      <w:lvlText w:val="(%7)"/>
      <w:lvlJc w:val="left"/>
      <w:pPr>
        <w:tabs>
          <w:tab w:pos="4680" w:val="num"/>
        </w:tabs>
        <w:ind w:left="4320"/>
      </w:pPr>
      <w:rPr>
        <w:rFonts w:cs="Times New Roman" w:hint="default"/>
      </w:rPr>
    </w:lvl>
    <w:lvl w:ilvl="7">
      <w:start w:val="1"/>
      <w:numFmt w:val="lowerLetter"/>
      <w:lvlText w:val="(%8)"/>
      <w:lvlJc w:val="left"/>
      <w:pPr>
        <w:tabs>
          <w:tab w:pos="5400" w:val="num"/>
        </w:tabs>
        <w:ind w:left="5040"/>
      </w:pPr>
      <w:rPr>
        <w:rFonts w:cs="Times New Roman" w:hint="default"/>
      </w:rPr>
    </w:lvl>
    <w:lvl w:ilvl="8">
      <w:start w:val="1"/>
      <w:numFmt w:val="lowerRoman"/>
      <w:lvlText w:val="(%9)"/>
      <w:lvlJc w:val="left"/>
      <w:pPr>
        <w:tabs>
          <w:tab w:pos="6120" w:val="num"/>
        </w:tabs>
        <w:ind w:left="5760"/>
      </w:pPr>
      <w:rPr>
        <w:rFonts w:cs="Times New Roman" w:hint="default"/>
      </w:rPr>
    </w:lvl>
  </w:abstractNum>
  <w:abstractNum w15:restartNumberingAfterBreak="0" w:abstractNumId="17">
    <w:nsid w:val="493C3F76"/>
    <w:multiLevelType w:val="hybridMultilevel"/>
    <w:tmpl w:val="9A9E418C"/>
    <w:lvl w:ilvl="0" w:tplc="2C18EFA4">
      <w:start w:val="1"/>
      <w:numFmt w:val="lowerLetter"/>
      <w:pStyle w:val="tablefootnote"/>
      <w:lvlText w:val="%1."/>
      <w:lvlJc w:val="right"/>
      <w:pPr>
        <w:ind w:hanging="360" w:left="418"/>
      </w:pPr>
      <w:rPr>
        <w:rFonts w:ascii="Times New Roman" w:hAnsi="Times New Roman" w:hint="default"/>
        <w:b w:val="0"/>
        <w:i w:val="0"/>
        <w:caps w:val="0"/>
        <w:strike w:val="0"/>
        <w:dstrike w:val="0"/>
        <w:vanish w:val="0"/>
        <w:color w:val="auto"/>
        <w:spacing w:val="0"/>
        <w:w w:val="100"/>
        <w:kern w:val="0"/>
        <w:position w:val="0"/>
        <w:sz w:val="16"/>
        <w:vertAlign w:val="superscript"/>
        <w14:shadow w14:algn="none" w14:blurRad="0" w14:dir="0" w14:dist="0" w14:kx="0" w14:ky="0" w14:sx="0" w14:sy="0">
          <w14:srgbClr w14:val="000000"/>
        </w14:shadow>
        <w14:textOutline w14:algn="ctr" w14:cap="rnd" w14:cmpd="sng" w14:w="0">
          <w14:noFill/>
          <w14:prstDash w14:val="solid"/>
          <w14:bevel/>
        </w14:textOutline>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8">
    <w:nsid w:val="52CA544A"/>
    <w:multiLevelType w:val="singleLevel"/>
    <w:tmpl w:val="AED6D67E"/>
    <w:lvl w:ilvl="0">
      <w:start w:val="1"/>
      <w:numFmt w:val="decimal"/>
      <w:pStyle w:val="references"/>
      <w:lvlText w:val="[%1]"/>
      <w:lvlJc w:val="left"/>
      <w:pPr>
        <w:tabs>
          <w:tab w:pos="360" w:val="num"/>
        </w:tabs>
        <w:ind w:hanging="360" w:left="360"/>
      </w:pPr>
      <w:rPr>
        <w:rFonts w:ascii="Times New Roman" w:cs="Times New Roman" w:hAnsi="Times New Roman" w:hint="default"/>
        <w:b w:val="0"/>
        <w:bCs w:val="0"/>
        <w:i w:val="0"/>
        <w:iCs w:val="0"/>
        <w:sz w:val="16"/>
        <w:szCs w:val="16"/>
      </w:rPr>
    </w:lvl>
  </w:abstractNum>
  <w:abstractNum w15:restartNumberingAfterBreak="0" w:abstractNumId="19">
    <w:nsid w:val="6C402C58"/>
    <w:multiLevelType w:val="hybridMultilevel"/>
    <w:tmpl w:val="9A1CA078"/>
    <w:lvl w:ilvl="0" w:tplc="C8D6570A">
      <w:start w:val="1"/>
      <w:numFmt w:val="decimal"/>
      <w:pStyle w:val="figurecaption"/>
      <w:lvlText w:val="Fig. %1."/>
      <w:lvlJc w:val="left"/>
      <w:pPr>
        <w:ind w:hanging="360" w:left="360"/>
      </w:pPr>
      <w:rPr>
        <w:rFonts w:ascii="Times New Roman" w:cs="Times New Roman" w:hAnsi="Times New Roman" w:hint="default"/>
        <w:b w:val="0"/>
        <w:bCs w:val="0"/>
        <w:i w:val="0"/>
        <w:iCs w:val="0"/>
        <w:color w:val="auto"/>
        <w:sz w:val="16"/>
        <w:szCs w:val="16"/>
      </w:rPr>
    </w:lvl>
    <w:lvl w:ilvl="1" w:tplc="04090019">
      <w:start w:val="1"/>
      <w:numFmt w:val="lowerLetter"/>
      <w:lvlText w:val="%2."/>
      <w:lvlJc w:val="left"/>
      <w:pPr>
        <w:tabs>
          <w:tab w:pos="1440" w:val="num"/>
        </w:tabs>
        <w:ind w:hanging="360" w:left="1440"/>
      </w:pPr>
      <w:rPr>
        <w:rFonts w:cs="Times New Roman"/>
      </w:rPr>
    </w:lvl>
    <w:lvl w:ilvl="2" w:tplc="0409001B">
      <w:start w:val="1"/>
      <w:numFmt w:val="lowerRoman"/>
      <w:lvlText w:val="%3."/>
      <w:lvlJc w:val="right"/>
      <w:pPr>
        <w:tabs>
          <w:tab w:pos="2160" w:val="num"/>
        </w:tabs>
        <w:ind w:hanging="180" w:left="2160"/>
      </w:pPr>
      <w:rPr>
        <w:rFonts w:cs="Times New Roman"/>
      </w:rPr>
    </w:lvl>
    <w:lvl w:ilvl="3" w:tplc="0409000F">
      <w:start w:val="1"/>
      <w:numFmt w:val="decimal"/>
      <w:lvlText w:val="%4."/>
      <w:lvlJc w:val="left"/>
      <w:pPr>
        <w:tabs>
          <w:tab w:pos="2880" w:val="num"/>
        </w:tabs>
        <w:ind w:hanging="360" w:left="2880"/>
      </w:pPr>
      <w:rPr>
        <w:rFonts w:cs="Times New Roman"/>
      </w:rPr>
    </w:lvl>
    <w:lvl w:ilvl="4" w:tplc="04090019">
      <w:start w:val="1"/>
      <w:numFmt w:val="lowerLetter"/>
      <w:lvlText w:val="%5."/>
      <w:lvlJc w:val="left"/>
      <w:pPr>
        <w:tabs>
          <w:tab w:pos="3600" w:val="num"/>
        </w:tabs>
        <w:ind w:hanging="360" w:left="3600"/>
      </w:pPr>
      <w:rPr>
        <w:rFonts w:cs="Times New Roman"/>
      </w:rPr>
    </w:lvl>
    <w:lvl w:ilvl="5" w:tplc="0409001B">
      <w:start w:val="1"/>
      <w:numFmt w:val="lowerRoman"/>
      <w:lvlText w:val="%6."/>
      <w:lvlJc w:val="right"/>
      <w:pPr>
        <w:tabs>
          <w:tab w:pos="4320" w:val="num"/>
        </w:tabs>
        <w:ind w:hanging="180" w:left="4320"/>
      </w:pPr>
      <w:rPr>
        <w:rFonts w:cs="Times New Roman"/>
      </w:rPr>
    </w:lvl>
    <w:lvl w:ilvl="6" w:tplc="0409000F">
      <w:start w:val="1"/>
      <w:numFmt w:val="decimal"/>
      <w:lvlText w:val="%7."/>
      <w:lvlJc w:val="left"/>
      <w:pPr>
        <w:tabs>
          <w:tab w:pos="5040" w:val="num"/>
        </w:tabs>
        <w:ind w:hanging="360" w:left="5040"/>
      </w:pPr>
      <w:rPr>
        <w:rFonts w:cs="Times New Roman"/>
      </w:rPr>
    </w:lvl>
    <w:lvl w:ilvl="7" w:tplc="04090019">
      <w:start w:val="1"/>
      <w:numFmt w:val="lowerLetter"/>
      <w:lvlText w:val="%8."/>
      <w:lvlJc w:val="left"/>
      <w:pPr>
        <w:tabs>
          <w:tab w:pos="5760" w:val="num"/>
        </w:tabs>
        <w:ind w:hanging="360" w:left="5760"/>
      </w:pPr>
      <w:rPr>
        <w:rFonts w:cs="Times New Roman"/>
      </w:rPr>
    </w:lvl>
    <w:lvl w:ilvl="8" w:tplc="0409001B">
      <w:start w:val="1"/>
      <w:numFmt w:val="lowerRoman"/>
      <w:lvlText w:val="%9."/>
      <w:lvlJc w:val="right"/>
      <w:pPr>
        <w:tabs>
          <w:tab w:pos="6480" w:val="num"/>
        </w:tabs>
        <w:ind w:hanging="180" w:left="6480"/>
      </w:pPr>
      <w:rPr>
        <w:rFonts w:cs="Times New Roman"/>
      </w:rPr>
    </w:lvl>
  </w:abstractNum>
  <w:abstractNum w15:restartNumberingAfterBreak="0" w:abstractNumId="20">
    <w:nsid w:val="6CD32DA8"/>
    <w:multiLevelType w:val="singleLevel"/>
    <w:tmpl w:val="166470C2"/>
    <w:lvl w:ilvl="0">
      <w:start w:val="1"/>
      <w:numFmt w:val="upperRoman"/>
      <w:pStyle w:val="tablehead"/>
      <w:lvlText w:val="TABLE %1. "/>
      <w:lvlJc w:val="left"/>
      <w:pPr>
        <w:tabs>
          <w:tab w:pos="1080" w:val="num"/>
        </w:tabs>
      </w:pPr>
      <w:rPr>
        <w:rFonts w:ascii="Times New Roman" w:cs="Times New Roman" w:hAnsi="Times New Roman" w:hint="default"/>
        <w:b w:val="0"/>
        <w:bCs w:val="0"/>
        <w:i w:val="0"/>
        <w:iCs w:val="0"/>
        <w:sz w:val="16"/>
        <w:szCs w:val="16"/>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940377641" w:numId="1">
    <w:abstractNumId w:val="14"/>
  </w:num>
  <w:num w16cid:durableId="1397439891" w:numId="2">
    <w:abstractNumId w:val="19"/>
  </w:num>
  <w:num w16cid:durableId="539585121" w:numId="3">
    <w:abstractNumId w:val="13"/>
  </w:num>
  <w:num w16cid:durableId="1505513160" w:numId="4">
    <w:abstractNumId w:val="16"/>
  </w:num>
  <w:num w16cid:durableId="978925957" w:numId="5">
    <w:abstractNumId w:val="16"/>
  </w:num>
  <w:num w16cid:durableId="1721400726" w:numId="6">
    <w:abstractNumId w:val="16"/>
  </w:num>
  <w:num w16cid:durableId="687826470" w:numId="7">
    <w:abstractNumId w:val="16"/>
  </w:num>
  <w:num w16cid:durableId="143812469" w:numId="8">
    <w:abstractNumId w:val="18"/>
  </w:num>
  <w:num w16cid:durableId="1364867722" w:numId="9">
    <w:abstractNumId w:val="20"/>
  </w:num>
  <w:num w16cid:durableId="2029989048" w:numId="10">
    <w:abstractNumId w:val="15"/>
  </w:num>
  <w:num w16cid:durableId="642739898" w:numId="11">
    <w:abstractNumId w:val="12"/>
  </w:num>
  <w:num w16cid:durableId="1272741182" w:numId="12">
    <w:abstractNumId w:val="11"/>
  </w:num>
  <w:num w16cid:durableId="851069540" w:numId="13">
    <w:abstractNumId w:val="0"/>
  </w:num>
  <w:num w16cid:durableId="529344390" w:numId="14">
    <w:abstractNumId w:val="10"/>
  </w:num>
  <w:num w16cid:durableId="894972538" w:numId="15">
    <w:abstractNumId w:val="8"/>
  </w:num>
  <w:num w16cid:durableId="1023093075" w:numId="16">
    <w:abstractNumId w:val="7"/>
  </w:num>
  <w:num w16cid:durableId="1951620780" w:numId="17">
    <w:abstractNumId w:val="6"/>
  </w:num>
  <w:num w16cid:durableId="1765606468" w:numId="18">
    <w:abstractNumId w:val="5"/>
  </w:num>
  <w:num w16cid:durableId="409623909" w:numId="19">
    <w:abstractNumId w:val="9"/>
  </w:num>
  <w:num w16cid:durableId="1936084648" w:numId="20">
    <w:abstractNumId w:val="4"/>
  </w:num>
  <w:num w16cid:durableId="146483437" w:numId="21">
    <w:abstractNumId w:val="3"/>
  </w:num>
  <w:num w16cid:durableId="1467505995" w:numId="22">
    <w:abstractNumId w:val="2"/>
  </w:num>
  <w:num w16cid:durableId="1408696933" w:numId="23">
    <w:abstractNumId w:val="1"/>
  </w:num>
  <w:num w16cid:durableId="1366640472" w:numId="24">
    <w:abstractNumId w:val="17"/>
  </w:num>
  <w:num w16cid:durableId="1917282883" w:numId="25">
    <w:abstractNumId w:val="18"/>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oNotHyphenateCaps/>
  <w:drawingGridHorizontalSpacing w:val="360"/>
  <w:drawingGridVerticalSpacing w:val="360"/>
  <w:displayHorizontalDrawingGridEvery w:val="0"/>
  <w:displayVerticalDrawingGridEvery w:val="0"/>
  <w:characterSpacingControl w:val="doNotCompress"/>
  <w:savePreviewPicture/>
  <w:doNotValidateAgainstSchema/>
  <w:doNotDemarcateInvalidXml/>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5079E"/>
    <w:rsid w:val="00156B74"/>
    <w:rsid w:val="001A2EFD"/>
    <w:rsid w:val="001A3B3D"/>
    <w:rsid w:val="001A42EA"/>
    <w:rsid w:val="001B67DC"/>
    <w:rsid w:val="001D7BCF"/>
    <w:rsid w:val="002254A9"/>
    <w:rsid w:val="00233D97"/>
    <w:rsid w:val="002850E3"/>
    <w:rsid w:val="00354FCF"/>
    <w:rsid w:val="00374903"/>
    <w:rsid w:val="003A19E2"/>
    <w:rsid w:val="00421EC6"/>
    <w:rsid w:val="004325FB"/>
    <w:rsid w:val="004432BA"/>
    <w:rsid w:val="0044407E"/>
    <w:rsid w:val="004D72B5"/>
    <w:rsid w:val="00547E73"/>
    <w:rsid w:val="00551B7F"/>
    <w:rsid w:val="0056610F"/>
    <w:rsid w:val="00575BCA"/>
    <w:rsid w:val="005B0344"/>
    <w:rsid w:val="005B520E"/>
    <w:rsid w:val="005E2800"/>
    <w:rsid w:val="006347CF"/>
    <w:rsid w:val="00645D22"/>
    <w:rsid w:val="00651A08"/>
    <w:rsid w:val="00654204"/>
    <w:rsid w:val="00670434"/>
    <w:rsid w:val="006B6B66"/>
    <w:rsid w:val="006F6D3D"/>
    <w:rsid w:val="00704134"/>
    <w:rsid w:val="00715BEA"/>
    <w:rsid w:val="00740EEA"/>
    <w:rsid w:val="00794804"/>
    <w:rsid w:val="007B33F1"/>
    <w:rsid w:val="007C0308"/>
    <w:rsid w:val="007C2FF2"/>
    <w:rsid w:val="007D6232"/>
    <w:rsid w:val="007F1F99"/>
    <w:rsid w:val="007F768F"/>
    <w:rsid w:val="0080791D"/>
    <w:rsid w:val="00873603"/>
    <w:rsid w:val="008A2C7D"/>
    <w:rsid w:val="008C4B23"/>
    <w:rsid w:val="008D54F6"/>
    <w:rsid w:val="008F6E2C"/>
    <w:rsid w:val="009303D9"/>
    <w:rsid w:val="00933C64"/>
    <w:rsid w:val="00972203"/>
    <w:rsid w:val="00A059B3"/>
    <w:rsid w:val="00A83751"/>
    <w:rsid w:val="00AE3409"/>
    <w:rsid w:val="00B11A60"/>
    <w:rsid w:val="00B22613"/>
    <w:rsid w:val="00BA1025"/>
    <w:rsid w:val="00BC3420"/>
    <w:rsid w:val="00BE7D3C"/>
    <w:rsid w:val="00BF5FF6"/>
    <w:rsid w:val="00C0207F"/>
    <w:rsid w:val="00C16117"/>
    <w:rsid w:val="00C3075A"/>
    <w:rsid w:val="00C76FFC"/>
    <w:rsid w:val="00C919A4"/>
    <w:rsid w:val="00CA4392"/>
    <w:rsid w:val="00CC393F"/>
    <w:rsid w:val="00D13749"/>
    <w:rsid w:val="00D2176E"/>
    <w:rsid w:val="00D61CCC"/>
    <w:rsid w:val="00D632BE"/>
    <w:rsid w:val="00D72D06"/>
    <w:rsid w:val="00D7522C"/>
    <w:rsid w:val="00D7536F"/>
    <w:rsid w:val="00D76668"/>
    <w:rsid w:val="00D81CDC"/>
    <w:rsid w:val="00E41015"/>
    <w:rsid w:val="00E61E12"/>
    <w:rsid w:val="00E7596C"/>
    <w:rsid w:val="00E878F2"/>
    <w:rsid w:val="00ED0149"/>
    <w:rsid w:val="00EF7DE3"/>
    <w:rsid w:val="00F03103"/>
    <w:rsid w:val="00F12284"/>
    <w:rsid w:val="00F271DE"/>
    <w:rsid w:val="00F627DA"/>
    <w:rsid w:val="00F7288F"/>
    <w:rsid w:val="00F847A6"/>
    <w:rsid w:val="00F9441B"/>
    <w:rsid w:val="00F96569"/>
    <w:rsid w:val="00FA4C32"/>
    <w:rsid w:val="00FE7114"/>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SimSun" w:hAnsi="Times New Roman"/>
        <w:lang w:bidi="ar-SA" w:eastAsia="en-US" w:val="en-GB"/>
      </w:rPr>
    </w:rPrDefault>
    <w:pPrDefault/>
  </w:docDefaults>
  <w:latentStyles w:count="376" w:defLockedState="0" w:defQFormat="0" w:defSemiHidden="0" w:defUIPriority="0" w:defUnhideWhenUsed="0">
    <w:lsdException w:name="Normal" w:qFormat="1"/>
    <w:lsdException w:name="heading 1" w:qFormat="1"/>
    <w:lsdException w:name="heading 2" w:qFormat="1"/>
    <w:lsdException w:name="heading 3" w:qFormat="1"/>
    <w:lsdException w:name="heading 4" w:qFormat="1"/>
    <w:lsdException w:name="heading 5" w:qFormat="1"/>
    <w:lsdException w:name="heading 6" w:qFormat="1" w:semiHidden="1" w:unhideWhenUsed="1"/>
    <w:lsdException w:name="heading 7" w:qFormat="1" w:semiHidden="1" w:unhideWhenUsed="1"/>
    <w:lsdException w:name="heading 8" w:qFormat="1" w:semiHidden="1" w:unhideWhenUsed="1"/>
    <w:lsdException w:name="heading 9" w:qFormat="1" w:semiHidden="1" w:unhideWhenUsed="1"/>
    <w:lsdException w:name="caption" w:qFormat="1" w:semiHidden="1" w:unhideWhenUsed="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spacing w:after="120"/>
      <w:ind w:firstLine="288"/>
      <w:jc w:val="both"/>
    </w:pPr>
  </w:style>
  <w:style w:styleId="Heading1" w:type="paragraph">
    <w:name w:val="heading 1"/>
    <w:basedOn w:val="Normal"/>
    <w:next w:val="Normal"/>
    <w:qFormat/>
    <w:rsid w:val="006B6B66"/>
    <w:pPr>
      <w:keepNext/>
      <w:keepLines/>
      <w:numPr>
        <w:numId w:val="4"/>
      </w:numPr>
      <w:tabs>
        <w:tab w:pos="216" w:val="left"/>
      </w:tabs>
      <w:spacing w:after="80" w:before="160"/>
      <w:ind w:firstLine="0"/>
      <w:outlineLvl w:val="0"/>
    </w:pPr>
    <w:rPr>
      <w:smallCaps/>
      <w:noProof/>
    </w:rPr>
  </w:style>
  <w:style w:styleId="Heading2" w:type="paragraph">
    <w:name w:val="heading 2"/>
    <w:basedOn w:val="Normal"/>
    <w:next w:val="Normal"/>
    <w:qFormat/>
    <w:rsid w:val="00ED0149"/>
    <w:pPr>
      <w:keepNext/>
      <w:keepLines/>
      <w:numPr>
        <w:ilvl w:val="1"/>
        <w:numId w:val="4"/>
      </w:numPr>
      <w:tabs>
        <w:tab w:pos="360" w:val="clear"/>
        <w:tab w:pos="288" w:val="num"/>
      </w:tabs>
      <w:spacing w:after="60" w:before="120"/>
      <w:jc w:val="left"/>
      <w:outlineLvl w:val="1"/>
    </w:pPr>
    <w:rPr>
      <w:i/>
      <w:iCs/>
      <w:noProof/>
    </w:rPr>
  </w:style>
  <w:style w:styleId="Heading3" w:type="paragraph">
    <w:name w:val="heading 3"/>
    <w:basedOn w:val="Normal"/>
    <w:next w:val="Normal"/>
    <w:qFormat/>
    <w:rsid w:val="00794804"/>
    <w:pPr>
      <w:numPr>
        <w:ilvl w:val="2"/>
        <w:numId w:val="4"/>
      </w:numPr>
      <w:spacing w:line="240" w:lineRule="exact"/>
      <w:ind w:firstLine="288"/>
      <w:outlineLvl w:val="2"/>
    </w:pPr>
    <w:rPr>
      <w:i/>
      <w:iCs/>
      <w:noProof/>
    </w:rPr>
  </w:style>
  <w:style w:styleId="Heading4" w:type="paragraph">
    <w:name w:val="heading 4"/>
    <w:basedOn w:val="Normal"/>
    <w:next w:val="Normal"/>
    <w:qFormat/>
    <w:rsid w:val="00794804"/>
    <w:pPr>
      <w:numPr>
        <w:ilvl w:val="3"/>
        <w:numId w:val="4"/>
      </w:numPr>
      <w:tabs>
        <w:tab w:pos="630" w:val="clear"/>
        <w:tab w:pos="720" w:val="left"/>
      </w:tabs>
      <w:spacing w:after="40" w:before="40"/>
      <w:ind w:firstLine="504"/>
      <w:outlineLvl w:val="3"/>
    </w:pPr>
    <w:rPr>
      <w:i/>
      <w:iCs/>
      <w:noProof/>
    </w:rPr>
  </w:style>
  <w:style w:styleId="Heading5" w:type="paragraph">
    <w:name w:val="heading 5"/>
    <w:basedOn w:val="Normal"/>
    <w:next w:val="Normal"/>
    <w:qFormat/>
    <w:pPr>
      <w:tabs>
        <w:tab w:pos="360" w:val="left"/>
      </w:tabs>
      <w:spacing w:after="80" w:before="160"/>
      <w:outlineLvl w:val="4"/>
    </w:pPr>
    <w:rPr>
      <w:smallCaps/>
      <w:noProof/>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Abstract" w:type="paragraph">
    <w:name w:val="Abstract"/>
    <w:rsid w:val="00972203"/>
    <w:pPr>
      <w:spacing w:after="200"/>
      <w:ind w:firstLine="272"/>
      <w:jc w:val="both"/>
    </w:pPr>
    <w:rPr>
      <w:b/>
      <w:bCs/>
      <w:sz w:val="18"/>
      <w:szCs w:val="18"/>
    </w:rPr>
  </w:style>
  <w:style w:customStyle="1" w:styleId="Affiliation" w:type="paragraph">
    <w:name w:val="Affiliation"/>
    <w:pPr>
      <w:jc w:val="center"/>
    </w:pPr>
  </w:style>
  <w:style w:customStyle="1" w:styleId="Author" w:type="paragraph">
    <w:name w:val="Author"/>
    <w:pPr>
      <w:spacing w:after="40" w:before="360"/>
      <w:jc w:val="center"/>
    </w:pPr>
    <w:rPr>
      <w:noProof/>
      <w:sz w:val="22"/>
      <w:szCs w:val="22"/>
    </w:rPr>
  </w:style>
  <w:style w:styleId="BodyText" w:type="paragraph">
    <w:name w:val="Body Text"/>
    <w:basedOn w:val="Normal"/>
    <w:link w:val="BodyTextChar"/>
    <w:rsid w:val="00E7596C"/>
    <w:pPr>
      <w:tabs>
        <w:tab w:pos="288" w:val="left"/>
      </w:tabs>
      <w:spacing w:line="228" w:lineRule="auto"/>
    </w:pPr>
    <w:rPr>
      <w:spacing w:val="-1"/>
      <w:lang w:eastAsia="x-none" w:val="x-none"/>
    </w:rPr>
  </w:style>
  <w:style w:customStyle="1" w:styleId="BodyTextChar" w:type="character">
    <w:name w:val="Body Text Char"/>
    <w:link w:val="BodyText"/>
    <w:rsid w:val="00E7596C"/>
    <w:rPr>
      <w:spacing w:val="-1"/>
      <w:lang w:eastAsia="x-none" w:val="x-none"/>
    </w:rPr>
  </w:style>
  <w:style w:customStyle="1" w:styleId="bulletlist" w:type="paragraph">
    <w:name w:val="bullet list"/>
    <w:basedOn w:val="BodyText"/>
    <w:rsid w:val="001B67DC"/>
    <w:pPr>
      <w:numPr>
        <w:numId w:val="1"/>
      </w:numPr>
      <w:tabs>
        <w:tab w:pos="648" w:val="clear"/>
      </w:tabs>
      <w:ind w:hanging="288" w:left="576"/>
    </w:pPr>
  </w:style>
  <w:style w:customStyle="1" w:styleId="equation" w:type="paragraph">
    <w:name w:val="equation"/>
    <w:basedOn w:val="Normal"/>
    <w:rsid w:val="008A2C7D"/>
    <w:pPr>
      <w:tabs>
        <w:tab w:pos="2520" w:val="center"/>
        <w:tab w:pos="5040" w:val="right"/>
      </w:tabs>
      <w:spacing w:after="240" w:before="240" w:line="216" w:lineRule="auto"/>
    </w:pPr>
    <w:rPr>
      <w:rFonts w:ascii="Symbol" w:cs="Symbol" w:hAnsi="Symbol"/>
    </w:rPr>
  </w:style>
  <w:style w:customStyle="1" w:styleId="figurecaption" w:type="paragraph">
    <w:name w:val="figure caption"/>
    <w:rsid w:val="005B0344"/>
    <w:pPr>
      <w:numPr>
        <w:numId w:val="2"/>
      </w:numPr>
      <w:tabs>
        <w:tab w:pos="533" w:val="left"/>
      </w:tabs>
      <w:spacing w:after="200" w:before="80"/>
      <w:ind w:firstLine="0" w:left="0"/>
      <w:jc w:val="both"/>
    </w:pPr>
    <w:rPr>
      <w:noProof/>
      <w:sz w:val="16"/>
      <w:szCs w:val="16"/>
    </w:rPr>
  </w:style>
  <w:style w:customStyle="1" w:styleId="footnote" w:type="paragraph">
    <w:name w:val="footnote"/>
    <w:pPr>
      <w:framePr w:hAnchor="page" w:hSpace="187" w:vAnchor="text" w:vSpace="187" w:wrap="notBeside" w:x="6121" w:y="577"/>
      <w:numPr>
        <w:numId w:val="3"/>
      </w:numPr>
      <w:spacing w:after="40"/>
    </w:pPr>
    <w:rPr>
      <w:sz w:val="16"/>
      <w:szCs w:val="16"/>
    </w:rPr>
  </w:style>
  <w:style w:customStyle="1" w:styleId="papersubtitle" w:type="paragraph">
    <w:name w:val="paper subtitle"/>
    <w:pPr>
      <w:spacing w:after="120"/>
      <w:jc w:val="center"/>
    </w:pPr>
    <w:rPr>
      <w:rFonts w:eastAsia="MS Mincho"/>
      <w:noProof/>
      <w:sz w:val="28"/>
      <w:szCs w:val="28"/>
    </w:rPr>
  </w:style>
  <w:style w:customStyle="1" w:styleId="papertitle" w:type="paragraph">
    <w:name w:val="paper title"/>
    <w:link w:val="papertitleChar"/>
    <w:pPr>
      <w:spacing w:after="120"/>
      <w:jc w:val="center"/>
    </w:pPr>
    <w:rPr>
      <w:rFonts w:eastAsia="MS Mincho"/>
      <w:noProof/>
      <w:sz w:val="48"/>
      <w:szCs w:val="48"/>
    </w:rPr>
  </w:style>
  <w:style w:customStyle="1" w:styleId="references" w:type="paragraph">
    <w:name w:val="references"/>
    <w:pPr>
      <w:numPr>
        <w:numId w:val="8"/>
      </w:numPr>
      <w:spacing w:after="50" w:line="180" w:lineRule="exact"/>
      <w:jc w:val="both"/>
    </w:pPr>
    <w:rPr>
      <w:rFonts w:eastAsia="MS Mincho"/>
      <w:noProof/>
      <w:sz w:val="16"/>
      <w:szCs w:val="16"/>
    </w:rPr>
  </w:style>
  <w:style w:customStyle="1" w:styleId="sponsors" w:type="paragraph">
    <w:name w:val="sponsors"/>
    <w:pPr>
      <w:framePr w:hAnchor="text" w:wrap="auto" w:x="615" w:y="2239"/>
      <w:pBdr>
        <w:top w:color="auto" w:space="2" w:sz="4" w:val="single"/>
      </w:pBdr>
      <w:ind w:firstLine="288"/>
    </w:pPr>
    <w:rPr>
      <w:sz w:val="16"/>
      <w:szCs w:val="16"/>
    </w:rPr>
  </w:style>
  <w:style w:customStyle="1" w:styleId="tablecolhead" w:type="paragraph">
    <w:name w:val="table col head"/>
    <w:basedOn w:val="Normal"/>
    <w:rPr>
      <w:b/>
      <w:bCs/>
      <w:sz w:val="16"/>
      <w:szCs w:val="16"/>
    </w:rPr>
  </w:style>
  <w:style w:customStyle="1" w:styleId="tablecolsubhead" w:type="paragraph">
    <w:name w:val="table col subhead"/>
    <w:basedOn w:val="tablecolhead"/>
    <w:rPr>
      <w:i/>
      <w:iCs/>
      <w:sz w:val="15"/>
      <w:szCs w:val="15"/>
    </w:rPr>
  </w:style>
  <w:style w:customStyle="1" w:styleId="tablecopy" w:type="paragraph">
    <w:name w:val="table copy"/>
    <w:pPr>
      <w:jc w:val="both"/>
    </w:pPr>
    <w:rPr>
      <w:noProof/>
      <w:sz w:val="16"/>
      <w:szCs w:val="16"/>
    </w:rPr>
  </w:style>
  <w:style w:customStyle="1" w:styleId="tablefootnote" w:type="paragraph">
    <w:name w:val="table footnote"/>
    <w:rsid w:val="005E2800"/>
    <w:pPr>
      <w:numPr>
        <w:numId w:val="24"/>
      </w:numPr>
      <w:spacing w:after="30" w:before="60"/>
      <w:ind w:hanging="29" w:left="58"/>
      <w:jc w:val="right"/>
    </w:pPr>
    <w:rPr>
      <w:sz w:val="12"/>
      <w:szCs w:val="12"/>
    </w:rPr>
  </w:style>
  <w:style w:customStyle="1" w:styleId="tablehead" w:type="paragraph">
    <w:name w:val="table head"/>
    <w:pPr>
      <w:numPr>
        <w:numId w:val="9"/>
      </w:numPr>
      <w:spacing w:after="120" w:before="240" w:line="216" w:lineRule="auto"/>
      <w:jc w:val="center"/>
    </w:pPr>
    <w:rPr>
      <w:smallCaps/>
      <w:noProof/>
      <w:sz w:val="16"/>
      <w:szCs w:val="16"/>
    </w:rPr>
  </w:style>
  <w:style w:customStyle="1" w:styleId="Keywords" w:type="paragraph">
    <w:name w:val="Keywords"/>
    <w:basedOn w:val="Abstract"/>
    <w:qFormat/>
    <w:rsid w:val="00F9441B"/>
    <w:pPr>
      <w:spacing w:after="120"/>
      <w:ind w:firstLine="274"/>
    </w:pPr>
    <w:rPr>
      <w:i/>
    </w:rPr>
  </w:style>
  <w:style w:styleId="Header" w:type="paragraph">
    <w:name w:val="header"/>
    <w:basedOn w:val="Normal"/>
    <w:link w:val="HeaderChar"/>
    <w:rsid w:val="001A3B3D"/>
    <w:pPr>
      <w:tabs>
        <w:tab w:pos="4680" w:val="center"/>
        <w:tab w:pos="9360" w:val="right"/>
      </w:tabs>
    </w:pPr>
  </w:style>
  <w:style w:customStyle="1" w:styleId="HeaderChar" w:type="character">
    <w:name w:val="Header Char"/>
    <w:basedOn w:val="DefaultParagraphFont"/>
    <w:link w:val="Header"/>
    <w:rsid w:val="001A3B3D"/>
  </w:style>
  <w:style w:styleId="Footer" w:type="paragraph">
    <w:name w:val="footer"/>
    <w:basedOn w:val="Normal"/>
    <w:link w:val="FooterChar"/>
    <w:rsid w:val="001A3B3D"/>
    <w:pPr>
      <w:tabs>
        <w:tab w:pos="4680" w:val="center"/>
        <w:tab w:pos="9360" w:val="right"/>
      </w:tabs>
    </w:pPr>
  </w:style>
  <w:style w:customStyle="1" w:styleId="FooterChar" w:type="character">
    <w:name w:val="Footer Char"/>
    <w:basedOn w:val="DefaultParagraphFont"/>
    <w:link w:val="Footer"/>
    <w:rsid w:val="001A3B3D"/>
  </w:style>
  <w:style w:styleId="Hyperlink" w:type="character">
    <w:name w:val="Hyperlink"/>
    <w:basedOn w:val="DefaultParagraphFont"/>
    <w:rsid w:val="00156B74"/>
    <w:rPr>
      <w:color w:themeColor="hyperlink" w:val="0563C1"/>
      <w:u w:val="single"/>
    </w:rPr>
  </w:style>
  <w:style w:styleId="UnresolvedMention" w:type="character">
    <w:name w:val="Unresolved Mention"/>
    <w:basedOn w:val="DefaultParagraphFont"/>
    <w:uiPriority w:val="99"/>
    <w:semiHidden/>
    <w:unhideWhenUsed/>
    <w:rsid w:val="00156B74"/>
    <w:rPr>
      <w:color w:val="605E5C"/>
      <w:shd w:color="auto" w:fill="E1DFDD" w:val="clear"/>
    </w:rPr>
  </w:style>
  <w:style w:styleId="Title" w:type="paragraph">
    <w:name w:val="Title"/>
    <w:basedOn w:val="Normal"/>
    <w:next w:val="Normal"/>
    <w:link w:val="TitleChar"/>
    <w:qFormat/>
    <w:rsid w:val="00E41015"/>
    <w:pPr>
      <w:contextualSpacing/>
      <w:jc w:val="center"/>
    </w:pPr>
    <w:rPr>
      <w:rFonts w:eastAsiaTheme="majorEastAsia"/>
      <w:spacing w:val="-10"/>
      <w:kern w:val="28"/>
      <w:sz w:val="48"/>
      <w:szCs w:val="56"/>
    </w:rPr>
  </w:style>
  <w:style w:customStyle="1" w:styleId="TitleChar" w:type="character">
    <w:name w:val="Title Char"/>
    <w:basedOn w:val="DefaultParagraphFont"/>
    <w:link w:val="Title"/>
    <w:rsid w:val="00E41015"/>
    <w:rPr>
      <w:rFonts w:eastAsiaTheme="majorEastAsia"/>
      <w:spacing w:val="-10"/>
      <w:kern w:val="28"/>
      <w:sz w:val="48"/>
      <w:szCs w:val="56"/>
    </w:rPr>
  </w:style>
  <w:style w:styleId="Caption" w:type="paragraph">
    <w:name w:val="caption"/>
    <w:basedOn w:val="Normal"/>
    <w:next w:val="Normal"/>
    <w:semiHidden/>
    <w:unhideWhenUsed/>
    <w:qFormat/>
    <w:rsid w:val="00E41015"/>
    <w:pPr>
      <w:spacing w:after="200" w:before="80"/>
    </w:pPr>
    <w:rPr>
      <w:iCs/>
      <w:color w:themeColor="text2" w:val="44546A"/>
      <w:sz w:val="16"/>
      <w:szCs w:val="18"/>
    </w:rPr>
  </w:style>
  <w:style w:customStyle="1" w:styleId="SourceCode" w:type="paragraph">
    <w:name w:val="Source Code"/>
    <w:basedOn w:val="papertitle"/>
    <w:link w:val="SourceCodeChar"/>
    <w:rsid w:val="00E41015"/>
    <w:pPr>
      <w:spacing w:after="0" w:afterAutospacing="1" w:beforeAutospacing="1"/>
      <w:jc w:val="left"/>
    </w:pPr>
    <w:rPr>
      <w:rFonts w:ascii="Courier New" w:cs="Courier New" w:hAnsi="Courier New"/>
      <w:sz w:val="14"/>
    </w:rPr>
  </w:style>
  <w:style w:customStyle="1" w:styleId="papertitleChar" w:type="character">
    <w:name w:val="paper title Char"/>
    <w:basedOn w:val="DefaultParagraphFont"/>
    <w:link w:val="papertitle"/>
    <w:rsid w:val="00E41015"/>
    <w:rPr>
      <w:rFonts w:eastAsia="MS Mincho"/>
      <w:noProof/>
      <w:sz w:val="48"/>
      <w:szCs w:val="48"/>
    </w:rPr>
  </w:style>
  <w:style w:customStyle="1" w:styleId="SourceCodeChar" w:type="character">
    <w:name w:val="Source Code Char"/>
    <w:basedOn w:val="papertitleChar"/>
    <w:link w:val="SourceCode"/>
    <w:rsid w:val="00E41015"/>
    <w:rPr>
      <w:rFonts w:ascii="Courier New" w:cs="Courier New" w:eastAsia="MS Mincho" w:hAnsi="Courier New"/>
      <w:noProof/>
      <w:sz w:val="14"/>
      <w:szCs w:val="48"/>
    </w:rPr>
  </w:style>
  <w:style w:customStyle="1" w:styleId="Table" w:type="table">
    <w:name w:val="Table"/>
    <w:basedOn w:val="TableNormal"/>
    <w:rsid w:val="00E41015"/>
    <w:rPr>
      <w:sz w:val="16"/>
    </w:rPr>
    <w:tblPr/>
  </w:style>
  <w:style w:styleId="Bibliography" w:type="paragraph">
    <w:name w:val="Bibliography"/>
    <w:basedOn w:val="Normal"/>
    <w:next w:val="Normal"/>
    <w:uiPriority w:val="37"/>
    <w:semiHidden/>
    <w:unhideWhenUsed/>
    <w:rsid w:val="00E41015"/>
    <w:pPr>
      <w:spacing w:after="50"/>
      <w:ind w:firstLine="0"/>
    </w:pPr>
    <w:rPr>
      <w:sz w:val="16"/>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Relationships xmlns="http://schemas.openxmlformats.org/package/2006/relationships"><Relationship Type="http://schemas.openxmlformats.org/officeDocument/2006/relationships/numbering" Id="rId21" Target="numbering.xml" /><Relationship Type="http://schemas.openxmlformats.org/officeDocument/2006/relationships/styles" Id="rId20" Target="styles.xml" /><Relationship Type="http://schemas.openxmlformats.org/officeDocument/2006/relationships/settings" Id="rId19" Target="settings.xml" /><Relationship Type="http://schemas.openxmlformats.org/officeDocument/2006/relationships/webSettings" Id="rId18" Target="webSettings.xml" /><Relationship Type="http://schemas.openxmlformats.org/officeDocument/2006/relationships/fontTable" Id="rId17" Target="fontTable.xml" /><Relationship Type="http://schemas.openxmlformats.org/officeDocument/2006/relationships/theme" Id="rId16" Target="theme/theme1.xml" /><Relationship Type="http://schemas.openxmlformats.org/officeDocument/2006/relationships/footnotes" Id="rId15" Target="footnotes.xml" /><Relationship Type="http://schemas.openxmlformats.org/officeDocument/2006/relationships/comments" Id="rId14" Target="comments.xml" /><Relationship Id="rId8" Target="header1.xml" Type="http://schemas.openxmlformats.org/officeDocument/2006/relationships/header" /><Relationship Id="rId13" Target="footer3.xml" Type="http://schemas.openxmlformats.org/officeDocument/2006/relationships/footer" /><Relationship Id="rId12" Target="header3.xml" Type="http://schemas.openxmlformats.org/officeDocument/2006/relationships/header" /><Relationship Id="rId11" Target="footer2.xml" Type="http://schemas.openxmlformats.org/officeDocument/2006/relationships/footer" /><Relationship Id="rId10" Target="footer1.xml" Type="http://schemas.openxmlformats.org/officeDocument/2006/relationships/footer" /><Relationship Id="rId9" Target="header2.xml" Type="http://schemas.openxmlformats.org/officeDocument/2006/relationships/header" /><Relationship Type="http://schemas.openxmlformats.org/officeDocument/2006/relationships/image" Id="rId27" Target="media/rId27.png" /><Relationship Type="http://schemas.openxmlformats.org/officeDocument/2006/relationships/image" Id="rId24" Target="media/rId24.png" /><Relationship Type="http://schemas.openxmlformats.org/officeDocument/2006/relationships/hyperlink" Id="rId37" Target="https://doi.org/10.18637/jss.v027.i03" TargetMode="External" /><Relationship Type="http://schemas.openxmlformats.org/officeDocument/2006/relationships/hyperlink" Id="rId35" Target="https://otexts.com/fpp3/" TargetMode="External" /><Relationship Type="http://schemas.openxmlformats.org/officeDocument/2006/relationships/hyperlink" Id="rId41" Target="https://pkg.robjhyndman.com/forecast/" TargetMode="External" /><Relationship Type="http://schemas.openxmlformats.org/officeDocument/2006/relationships/hyperlink" Id="rId39" Target="https://pkg.robjhyndman.com/forecast/reference/residuals.forecast.html" TargetMode="External" /><Relationship Type="http://schemas.openxmlformats.org/officeDocument/2006/relationships/hyperlink" Id="rId31" Target="https://power.larc.nasa.gov/docs/services/api/temporal/monthly/" TargetMode="External" /><Relationship Type="http://schemas.openxmlformats.org/officeDocument/2006/relationships/hyperlink" Id="rId33" Target="https://sdgs.un.org/goals/goal7" TargetMode="External" /><Relationship Type="http://schemas.openxmlformats.org/officeDocument/2006/relationships/hyperlink" Id="rId43" Target="https://www.R-project.org/" TargetMode="External" /></Relationships>
</file>

<file path=word/_rels/footnotes.xml.rels><?xml version="1.0" encoding="UTF-8"?><Relationships xmlns="http://schemas.openxmlformats.org/package/2006/relationships"><Relationship Type="http://schemas.openxmlformats.org/officeDocument/2006/relationships/hyperlink" Id="rId37" Target="https://doi.org/10.18637/jss.v027.i03" TargetMode="External" /><Relationship Type="http://schemas.openxmlformats.org/officeDocument/2006/relationships/hyperlink" Id="rId35" Target="https://otexts.com/fpp3/" TargetMode="External" /><Relationship Type="http://schemas.openxmlformats.org/officeDocument/2006/relationships/hyperlink" Id="rId41" Target="https://pkg.robjhyndman.com/forecast/" TargetMode="External" /><Relationship Type="http://schemas.openxmlformats.org/officeDocument/2006/relationships/hyperlink" Id="rId39" Target="https://pkg.robjhyndman.com/forecast/reference/residuals.forecast.html" TargetMode="External" /><Relationship Type="http://schemas.openxmlformats.org/officeDocument/2006/relationships/hyperlink" Id="rId31" Target="https://power.larc.nasa.gov/docs/services/api/temporal/monthly/" TargetMode="External" /><Relationship Type="http://schemas.openxmlformats.org/officeDocument/2006/relationships/hyperlink" Id="rId33" Target="https://sdgs.un.org/goals/goal7" TargetMode="External" /><Relationship Type="http://schemas.openxmlformats.org/officeDocument/2006/relationships/hyperlink" Id="rId43" Target="https://www.R-project.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2275</Words>
  <Characters>12971</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Forecasting Monthly Solar Irradiance in Kuala Lumpur</dc:title>
  <dc:creator/>
  <dc:language>en-GB</dc:language>
  <cp:keywords/>
  <dcterms:created xsi:type="dcterms:W3CDTF">2026-09-02T03:29:52Z</dcterms:created>
  <dcterms:modified xsi:type="dcterms:W3CDTF">2026-09-02T03:29:52Z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y fmtid="{D5CDD505-2E9C-101B-9397-08002B2CF9AE}" pid="3" name="csl">
    <vt:lpwstr>ieee.csl</vt:lpwstr>
  </property>
  <property fmtid="{D5CDD505-2E9C-101B-9397-08002B2CF9AE}" pid="4" name="link-citations">
    <vt:lpwstr>False</vt:lpwstr>
  </property>
  <property fmtid="{D5CDD505-2E9C-101B-9397-08002B2CF9AE}" pid="5" name="number-sections">
    <vt:lpwstr>False</vt:lpwstr>
  </property>
  <property fmtid="{D5CDD505-2E9C-101B-9397-08002B2CF9AE}" pid="6" name="table-caption-position">
    <vt:lpwstr>above</vt:lpwstr>
  </property>
</Properties>
</file>