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1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Forecasting Monthly Solar Irradiance in Kuala Lumpur Using ARIMA</w:t>
      </w:r>
    </w:p>
    <w:p>
      <w:pPr>
        <w:pStyle w:val="Author"/>
      </w:pPr>
      <w:r>
        <w:t xml:space="preserve">[Member 1 name]</w:t>
      </w:r>
    </w:p>
    <w:p>
      <w:pPr>
        <w:pStyle w:val="Affiliation"/>
      </w:pPr>
      <w:r>
        <w:t xml:space="preserve">[University and faculty]</w:t>
      </w:r>
      <w:r>
        <w:br/>
      </w:r>
      <w:r>
        <w:t xml:space="preserve">BMMS2094 Statistics for Data Science · Student ID: [ID] · Tutorial/Group: [Identifier]</w:t>
      </w:r>
      <w:r>
        <w:br/>
      </w:r>
      <w:r>
        <w:t xml:space="preserve">Assigned model: Seasonal ARIMA · Submission date: [DD Month YYYY]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 w:space="720"/>
          <w:docGrid w:linePitch="360"/>
        </w:sectPr>
      </w:pPr>
    </w:p>
    <w:p>
      <w:pPr>
        <w:pStyle w:val="Abstract"/>
      </w:pPr>
      <w:r>
        <w:rPr>
          <w:b/>
          <w:bCs/>
        </w:rPr>
        <w:t xml:space="preserve">Abstract—</w:t>
      </w:r>
      <w:r>
        <w:t xml:space="preserve">This report evaluates seasonal ARIMA for monthly NASA POWER surface solar irradiance in Kuala Lumpur using a fixed 240-month training period and 60-month test period. The selected ARIMA(0,0,2)(2,1,1)</w:t>
      </w:r>
      <w:r>
        <w:rPr>
          <w:vertAlign w:val="subscript"/>
        </w:rPr>
        <w:t xml:space="preserve">12</w:t>
      </w:r>
      <w:r>
        <w:t xml:space="preserve"> </w:t>
      </w:r>
      <w:r>
        <w:t xml:space="preserve">model achieved RMSE 0.2928 and passed the lag-24 residual white-noise test.</w:t>
      </w:r>
    </w:p>
    <w:p>
      <w:pPr>
        <w:pStyle w:val="Keywords"/>
      </w:pPr>
      <w:r>
        <w:rPr>
          <w:b/>
          <w:bCs/>
        </w:rPr>
        <w:t xml:space="preserve">Keywords—</w:t>
      </w:r>
      <w:r>
        <w:t xml:space="preserve">forecasting, NASA POWER, SARIMA, seasonal differencing, solar irradiance.</w:t>
      </w:r>
    </w:p>
    <w:bookmarkStart w:id="22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report proposes evaluating SARIMA for monthly Kuala Lumpur solar irradiance (kWh/m²/day) from NASA POWER</w:t>
      </w:r>
      <w:r>
        <w:t xml:space="preserve"> </w:t>
      </w:r>
      <w:r>
        <w:t xml:space="preserve">[1]</w:t>
      </w:r>
      <w:r>
        <w:t xml:space="preserve">. SARIMA is a reasonable candidate because it can represent ordinary and annual-lag dependence after differencing. A seasonal model is written as ARIMA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</m:oMath>
      <w:r>
        <w:t xml:space="preserve">, where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are ordinary/seasonal AR and MA orders, while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are ordinary/seasonal differences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observations were to be split chronologically into a January 2001–December 2020 training period and a January 2021–December 2025 test period. Both contain complete 12-month cycles; random splitting was rejected to prevent future leakage. An exact 70:30 split breaks annual boundaries, while 72:28 sacrifices two additional training years. The need for a variance-stabilising transformation would be assessed using training data only, with the response scale preferred when diagnostics did not justify transformation and direct interpretation remained important.</w:t>
      </w:r>
    </w:p>
    <w:p>
      <w:pPr>
        <w:pStyle w:val="BodyText"/>
      </w:pPr>
      <w:r>
        <w:t xml:space="preserve">Training plots, monthly summaries, STL decomposition, and stationarity diagnostics would guide ordinary and seasonal differencing. KPSS-guided</w:t>
      </w:r>
      <w:r>
        <w:t xml:space="preserve"> </w:t>
      </w:r>
      <w:r>
        <w:rPr>
          <w:rStyle w:val="VerbatimChar"/>
        </w:rPr>
        <w:t xml:space="preserve">ndiffs()</w:t>
      </w:r>
      <w:r>
        <w:t xml:space="preserve"> </w:t>
      </w:r>
      <w:r>
        <w:t xml:space="preserve">and seasonal-strength</w:t>
      </w:r>
      <w:r>
        <w:t xml:space="preserve"> </w:t>
      </w:r>
      <w:r>
        <w:rPr>
          <w:rStyle w:val="VerbatimChar"/>
        </w:rPr>
        <w:t xml:space="preserve">nsdiffs()</w:t>
      </w:r>
      <w:r>
        <w:t xml:space="preserve"> </w:t>
      </w:r>
      <w:r>
        <w:t xml:space="preserve">would inform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 zero, ordinary, seasonal, and combined differencing were the alternatives, with the smallest orders that removed supported non-stationarity preferred to avoid over-differencing.</w:t>
      </w:r>
      <w:r>
        <w:t xml:space="preserve"> </w:t>
      </w:r>
      <w:r>
        <w:rPr>
          <w:rStyle w:val="VerbatimChar"/>
        </w:rPr>
        <w:t xml:space="preserve">seasonal=TRUE</w:t>
      </w:r>
      <w:r>
        <w:t xml:space="preserve"> </w:t>
      </w:r>
      <w:r>
        <w:t xml:space="preserve">and period 12 were fixed because the data are monthly and exhibit an annual cycle.</w:t>
      </w:r>
      <w:r>
        <w:t xml:space="preserve"> </w:t>
      </w:r>
      <w:r>
        <w:rPr>
          <w:rStyle w:val="VerbatimChar"/>
        </w:rPr>
        <w:t xml:space="preserve">auto.arima()</w:t>
      </w:r>
      <w:r>
        <w:t xml:space="preserve"> </w:t>
      </w:r>
      <w:r>
        <w:t xml:space="preserve">would search seasonal orders by AICc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rPr>
          <w:rStyle w:val="VerbatimChar"/>
        </w:rPr>
        <w:t xml:space="preserve">stepwise=FALSE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approximation=FALSE</w:t>
      </w:r>
      <w:r>
        <w:t xml:space="preserve"> </w:t>
      </w:r>
      <w:r>
        <w:t xml:space="preserve">deliberately replace faster defaults with an exhaustive, exact-likelihood search because 240 observations make the additional computation manageable and reduce the risk that a shortcut determines the order.</w:t>
      </w:r>
      <w:r>
        <w:t xml:space="preserve"> </w:t>
      </w:r>
      <w:r>
        <w:rPr>
          <w:rStyle w:val="VerbatimChar"/>
        </w:rPr>
        <w:t xml:space="preserve">allowdrift=TRUE</w:t>
      </w:r>
      <w:r>
        <w:t xml:space="preserve"> </w:t>
      </w:r>
      <w:r>
        <w:t xml:space="preserve">keeps drift eligible rather than forcing it; AICc may retain it only when supported after differencing. Orders and search settings are analytical choices, whereas the AR/MA coefficients are jointly estimated from the training likelihood rather than manually selected.</w:t>
      </w:r>
    </w:p>
    <w:p>
      <w:pPr>
        <w:pStyle w:val="BodyText"/>
      </w:pPr>
      <w:r>
        <w:t xml:space="preserve">Response residuals would be assessed over time, by ACF, and with a lag-24 Ljung–Box test using fitted degrees of freedom</w:t>
      </w:r>
      <w:r>
        <w:t xml:space="preserve"> </w:t>
      </w:r>
      <w:r>
        <w:t xml:space="preserve">[4]</w:t>
      </w:r>
      <w:r>
        <w:t xml:space="preserve">. Material residual autocorrelation would trigger a loop back to model identification. Evaluation would use RMSE primarily, MAE secondarily, with MAPE, MASE, and sMAPE as supporting measures.</w:t>
      </w:r>
    </w:p>
    <w:bookmarkEnd w:id="22"/>
    <w:bookmarkStart w:id="29" w:name="data-analysis"/>
    <w:p>
      <w:pPr>
        <w:pStyle w:val="Heading1"/>
      </w:pPr>
      <w:r>
        <w:t xml:space="preserve">Data Analysis</w:t>
      </w:r>
    </w:p>
    <w:p>
      <w:pPr>
        <w:pStyle w:val="FirstParagraph"/>
      </w:pPr>
      <w:r>
        <w:rPr>
          <w:b/>
          <w:bCs/>
        </w:rPr>
        <w:t xml:space="preserve">Training evidence and model identification—</w:t>
      </w:r>
      <w:r>
        <w:t xml:space="preserve">The 2001–2020 time plot and STL decomposition showed a strong recurring annual pattern, approximately stable seasonal amplitude, and comparatively modest long-term movement. Training-only diagnostics recommended no ordinary difference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) and one seasonal difference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preserved level information when ordinary differencing was unnecessary, while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removed the supported annual non-stationarity at lag 12. The response scale was retained because seasonal amplitude was broadly stable in absolute units and a transformation was not sufficiently supported. This evidence established differencing and transformation before order selection.</w:t>
      </w:r>
    </w:p>
    <w:p>
      <w:pPr>
        <w:pStyle w:val="CaptionedFigure"/>
      </w:pPr>
      <w:r>
        <w:drawing>
          <wp:inline>
            <wp:extent cx="2926080" cy="2560320"/>
            <wp:effectExtent b="0" l="0" r="0" t="0"/>
            <wp:docPr descr="Training-only time series and STL components used for model identification." title="" id="24" name="Picture"/>
            <a:graphic>
              <a:graphicData uri="http://schemas.openxmlformats.org/drawingml/2006/picture">
                <pic:pic>
                  <pic:nvPicPr>
                    <pic:cNvPr descr="../analysis_outputs/nasa/figures/nasa_training_identific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Training-only time series and STL components used for model identification.</w:t>
      </w:r>
    </w:p>
    <w:p>
      <w:r>
        <w:br w:type="column"/>
      </w:r>
    </w:p>
    <w:p>
      <w:pPr>
        <w:pStyle w:val="BodyText"/>
      </w:pPr>
      <w:r>
        <w:t xml:space="preserve">The exhaustive exact-likelihood search compared admissible seasonal orders by AICc and selected ARIMA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(AICc=105.397); thus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came from a declared training criterion, not software defaults. Although drift was allowed, the selected model contained neither mean nor drift, consistent with seasonal differencing and weak long-run movement. Likelihood optimisation jointly fitted MA1=0.2248 (SE=0.0678), MA2=0.0903 (0.0696), SAR1=−0.0086 (0.0870), SAR2=−0.1301 (0.0824), and SMA1=−0.8869 (0.0959); these values were estimated, not manually chosen. The large seasonal MA estimate represents strong annual-lag error correction, whereas uncertain SAR estimates make nearby-order sensitivity checks important. Lag 24 examines two annual cycles, with five fitted coefficients deducted in the Ljung–Box reference distribution. The result,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23.577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.213</m:t>
        </m:r>
      </m:oMath>
      <w:r>
        <w:t xml:space="preserve">, did not trigger an order modification.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 (kWh/m²/day)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(kWh/m²/day)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Ljung–Box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0.2129</w:t>
            </w:r>
          </w:p>
        </w:tc>
      </w:tr>
    </w:tbl>
    <w:p>
      <w:pPr>
        <w:pStyle w:val="CaptionedFigure"/>
      </w:pPr>
      <w:r>
        <w:drawing>
          <wp:inline>
            <wp:extent cx="2926080" cy="1645920"/>
            <wp:effectExtent b="0" l="0" r="0" t="0"/>
            <wp:docPr descr="SARIMA test forecasts with 95% intervals." title="" id="27" name="Picture"/>
            <a:graphic>
              <a:graphicData uri="http://schemas.openxmlformats.org/drawingml/2006/picture">
                <pic:pic>
                  <pic:nvPicPr>
                    <pic:cNvPr descr="../analysis_outputs/nasa/figures/nasa_sarima_test_forecas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SARIMA test forecasts with 95% intervals.</w:t>
      </w:r>
    </w:p>
    <w:p>
      <w:pPr>
        <w:pStyle w:val="BodyText"/>
      </w:pPr>
      <w:r>
        <w:t xml:space="preserve">SARIMA achieved test RMSE 0.2928 and MAE 0.2245, passed the residual gate, and produced non-negative point forecasts. These results support its suitability for the observed series and test period. Strengths are its direct treatment of seasonal differencing and lag dependence and its well-behaved residuals. Limitations include order-search uncertainty, possible sensitivity to transformation and structural change, weakening precision at long horizons, and limited substantive interpretability of interacting MA/SAR terms.</w:t>
      </w:r>
    </w:p>
    <w:p>
      <w:pPr>
        <w:pStyle w:val="BodyText"/>
      </w:pPr>
      <w:r>
        <w:t xml:space="preserve">The locked order was re-estimated—not merely copied—on all 300 observations for 2026. Updated coefficients were MA1=0.2126, MA2=0.1008, SAR1=−0.0013, SAR2=−0.0774, and SMA1=−0.9343. Point forecasts ranged from 4.2238 (December) to 5.2472 (March), consistent with the observed seasonal cycle.</w:t>
      </w:r>
    </w:p>
    <w:bookmarkEnd w:id="29"/>
    <w:bookmarkStart w:id="3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SARIMA is suitable and is the defensible final model for this sample: it achieved RMSE 0.2928 and MAE 0.2245, while the lag-24 Ljung–Box result did not reject residual white noise. Its evidence-based seasonal differencing and AICc-selected lag structure are strengths, but uncertain seasonal AR estimates and possible order sensitivity remain limitations. Nearby manual orders, rolling-origin validation, Box–Cox alternatives, and weather regressors should therefore be tested before operational use. Irradiance forecasts do not directly predict photovoltaic electricity generation.</w:t>
      </w:r>
    </w:p>
    <w:bookmarkEnd w:id="30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Start w:id="32" w:name="ref-nasa-power-monthly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NASA Prediction Of Worldwide Energy Resources,</w:t>
      </w:r>
      <w:r>
        <w:t xml:space="preserve"> </w:t>
      </w:r>
      <w:r>
        <w:t xml:space="preserve">‘Monthly and annual API’</w:t>
      </w:r>
      <w:r>
        <w:t xml:space="preserve">. Accessed: Sep. 01, 2026. [Online]. Available:</w:t>
      </w:r>
      <w:r>
        <w:t xml:space="preserve"> </w:t>
      </w:r>
      <w:hyperlink r:id="rId31">
        <w:r>
          <w:rPr>
            <w:rStyle w:val="Hyperlink"/>
          </w:rPr>
          <w:t xml:space="preserve">https://power.larc.nasa.gov/docs/services/api/temporal/monthly/</w:t>
        </w:r>
      </w:hyperlink>
    </w:p>
    <w:bookmarkEnd w:id="32"/>
    <w:bookmarkStart w:id="34" w:name="ref-hyndman-athanasopoulos-202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J. Hyndman and G. Athanasopoulos,</w:t>
      </w:r>
      <w:r>
        <w:t xml:space="preserve"> </w:t>
      </w:r>
      <w:r>
        <w:rPr>
          <w:i/>
          <w:iCs/>
        </w:rPr>
        <w:t xml:space="preserve">Forecasting: Principles and practice</w:t>
      </w:r>
      <w:r>
        <w:t xml:space="preserve">, 3rd edn. Melbourne, Australia: OTexts, 2021. Available:</w:t>
      </w:r>
      <w:r>
        <w:t xml:space="preserve"> </w:t>
      </w:r>
      <w:hyperlink r:id="rId33">
        <w:r>
          <w:rPr>
            <w:rStyle w:val="Hyperlink"/>
          </w:rPr>
          <w:t xml:space="preserve">https://otexts.com/fpp3/</w:t>
        </w:r>
      </w:hyperlink>
    </w:p>
    <w:bookmarkEnd w:id="34"/>
    <w:bookmarkStart w:id="36" w:name="ref-hyndman-khandakar-2008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J. Hyndman and Y. Khandakar,</w:t>
      </w:r>
      <w:r>
        <w:t xml:space="preserve"> </w:t>
      </w:r>
      <w:r>
        <w:t xml:space="preserve">‘Automatic time series forecasting: The forecast package for r’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27, no. 3, pp. 1–22, 2008, doi:</w:t>
      </w:r>
      <w:r>
        <w:t xml:space="preserve"> </w:t>
      </w:r>
      <w:hyperlink r:id="rId35">
        <w:r>
          <w:rPr>
            <w:rStyle w:val="Hyperlink"/>
          </w:rPr>
          <w:t xml:space="preserve">10.18637/jss.v027.i03</w:t>
        </w:r>
      </w:hyperlink>
      <w:r>
        <w:t xml:space="preserve">.</w:t>
      </w:r>
    </w:p>
    <w:bookmarkEnd w:id="36"/>
    <w:bookmarkStart w:id="38" w:name="ref-forecast-checkresidual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J. Hyndman,</w:t>
      </w:r>
      <w:r>
        <w:t xml:space="preserve"> </w:t>
      </w:r>
      <w:r>
        <w:t xml:space="preserve">‘Check that residuals from a time series model look like white noise’</w:t>
      </w:r>
      <w:r>
        <w:t xml:space="preserve">. Accessed: Sep. 01, 2026. [Online]. Available:</w:t>
      </w:r>
      <w:r>
        <w:t xml:space="preserve"> </w:t>
      </w:r>
      <w:hyperlink r:id="rId37">
        <w:r>
          <w:rPr>
            <w:rStyle w:val="Hyperlink"/>
          </w:rPr>
          <w:t xml:space="preserve">https://pkg.robjhyndman.com/forecast/reference/checkresiduals.html</w:t>
        </w:r>
      </w:hyperlink>
    </w:p>
    <w:bookmarkEnd w:id="38"/>
    <w:bookmarkEnd w:id="39"/>
    <w:bookmarkEnd w:id="40"/>
    <w:bookmarkStart w:id="45" w:name="appendix"/>
    <w:p>
      <w:pPr>
        <w:pStyle w:val="Heading1"/>
      </w:pPr>
      <w:r>
        <w:t xml:space="preserve">Appendix</w:t>
      </w:r>
    </w:p>
    <w:bookmarkStart w:id="44" w:name="appendix-a-reproducible-sarima-code"/>
    <w:p>
      <w:pPr>
        <w:pStyle w:val="Heading2"/>
      </w:pPr>
      <w:r>
        <w:t xml:space="preserve">Appendix A: Reproducible SARIMA Code</w:t>
      </w:r>
    </w:p>
    <w:p>
      <w:pPr>
        <w:pStyle w:val="FirstParagraph"/>
      </w:pPr>
      <w:r>
        <w:t xml:space="preserve">Canonical source:</w:t>
      </w:r>
      <w:r>
        <w:t xml:space="preserve"> </w:t>
      </w:r>
      <w:r>
        <w:rPr>
          <w:rStyle w:val="VerbatimChar"/>
        </w:rPr>
        <w:t xml:space="preserve">../NASA_Solar_Irradiance_Forecasting.R</w:t>
      </w:r>
      <w:r>
        <w:t xml:space="preserve">. No random procedure is used, so no random seed is required.</w:t>
      </w:r>
    </w:p>
    <w:p>
      <w:pPr>
        <w:pStyle w:val="CaptionedFigure"/>
      </w:pPr>
      <w:r>
        <w:drawing>
          <wp:inline>
            <wp:extent cx="2926080" cy="1645920"/>
            <wp:effectExtent b="0" l="0" r="0" t="0"/>
            <wp:docPr descr="SARIMA training response residuals and residual ACF." title="" id="42" name="Picture"/>
            <a:graphic>
              <a:graphicData uri="http://schemas.openxmlformats.org/drawingml/2006/picture">
                <pic:pic>
                  <pic:nvPicPr>
                    <pic:cNvPr descr="../analysis_outputs/nasa/figures/nasa_sarima_diagnostic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SARIMA training response residuals and residual ACF.</w:t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sarima_fit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train,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approximation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allowdrift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sarima_fc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(sarima_fit,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response_residuals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(sarima_fit))</w:t>
      </w:r>
      <w:r>
        <w:br/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(response_residuals,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fitdf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(sarima_fit)))</w:t>
      </w:r>
      <w:r>
        <w:br/>
      </w:r>
      <w:r>
        <w:rPr>
          <w:rStyle w:val="FunctionTok"/>
        </w:rPr>
        <w:t xml:space="preserve">metric_row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"SARIMA"</w:t>
      </w:r>
      <w:r>
        <w:rPr>
          <w:rStyle w:val="NormalTok"/>
        </w:rPr>
        <w:t xml:space="preserve">, sarima_fc, test, train)</w:t>
      </w:r>
    </w:p>
    <w:bookmarkEnd w:id="44"/>
    <w:bookmarkEnd w:id="45"/>
    <w:sectPr w:rsidR="00D7522C" w:rsidRPr="00CA4392" w:rsidSect="00E4101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type w:val="continuous"/>
      <w:pgSz w:code="1" w:h="15840" w:w="12240"/>
      <w:pgMar w:bottom="1440" w:footer="720" w:gutter="0" w:header="720" w:left="893" w:right="893" w:top="1080"/>
      <w:cols w:num="2" w:space="36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890E" w14:textId="77777777" w:rsidR="00E41015" w:rsidRDefault="00E410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CC85" w14:textId="77777777" w:rsidR="00E41015" w:rsidRDefault="00E410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AAFE" w14:textId="77777777" w:rsidR="00E41015" w:rsidRDefault="00E410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F4F3" w14:textId="77777777" w:rsidR="00E41015" w:rsidRDefault="00E410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3D8C" w14:textId="77777777" w:rsidR="00E41015" w:rsidRDefault="00E4101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hanging="360" w:left="936"/>
      </w:pPr>
    </w:lvl>
    <w:lvl w:ilvl="1" w:tentative="1" w:tplc="04140019">
      <w:start w:val="1"/>
      <w:numFmt w:val="lowerLetter"/>
      <w:lvlText w:val="%2."/>
      <w:lvlJc w:val="left"/>
      <w:pPr>
        <w:ind w:hanging="360" w:left="1656"/>
      </w:pPr>
    </w:lvl>
    <w:lvl w:ilvl="2" w:tentative="1" w:tplc="0414001B">
      <w:start w:val="1"/>
      <w:numFmt w:val="lowerRoman"/>
      <w:lvlText w:val="%3."/>
      <w:lvlJc w:val="right"/>
      <w:pPr>
        <w:ind w:hanging="180" w:left="2376"/>
      </w:pPr>
    </w:lvl>
    <w:lvl w:ilvl="3" w:tentative="1" w:tplc="0414000F">
      <w:start w:val="1"/>
      <w:numFmt w:val="decimal"/>
      <w:lvlText w:val="%4."/>
      <w:lvlJc w:val="left"/>
      <w:pPr>
        <w:ind w:hanging="360" w:left="3096"/>
      </w:pPr>
    </w:lvl>
    <w:lvl w:ilvl="4" w:tentative="1" w:tplc="04140019">
      <w:start w:val="1"/>
      <w:numFmt w:val="lowerLetter"/>
      <w:lvlText w:val="%5."/>
      <w:lvlJc w:val="left"/>
      <w:pPr>
        <w:ind w:hanging="360" w:left="3816"/>
      </w:pPr>
    </w:lvl>
    <w:lvl w:ilvl="5" w:tentative="1" w:tplc="0414001B">
      <w:start w:val="1"/>
      <w:numFmt w:val="lowerRoman"/>
      <w:lvlText w:val="%6."/>
      <w:lvlJc w:val="right"/>
      <w:pPr>
        <w:ind w:hanging="180" w:left="4536"/>
      </w:pPr>
    </w:lvl>
    <w:lvl w:ilvl="6" w:tentative="1" w:tplc="0414000F">
      <w:start w:val="1"/>
      <w:numFmt w:val="decimal"/>
      <w:lvlText w:val="%7."/>
      <w:lvlJc w:val="left"/>
      <w:pPr>
        <w:ind w:hanging="360" w:left="5256"/>
      </w:pPr>
    </w:lvl>
    <w:lvl w:ilvl="7" w:tentative="1" w:tplc="04140019">
      <w:start w:val="1"/>
      <w:numFmt w:val="lowerLetter"/>
      <w:lvlText w:val="%8."/>
      <w:lvlJc w:val="left"/>
      <w:pPr>
        <w:ind w:hanging="360" w:left="5976"/>
      </w:pPr>
    </w:lvl>
    <w:lvl w:ilvl="8" w:tentative="1" w:tplc="0414001B">
      <w:start w:val="1"/>
      <w:numFmt w:val="lowerRoman"/>
      <w:lvlText w:val="%9."/>
      <w:lvlJc w:val="right"/>
      <w:pPr>
        <w:ind w:hanging="180" w:left="6696"/>
      </w:pPr>
    </w:lvl>
  </w:abstractNum>
  <w:abstractNum w15:restartNumberingAfterBreak="0" w:abstractNumId="12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3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pos="648" w:val="num"/>
        </w:tabs>
        <w:ind w:firstLine="288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4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pos="720" w:val="num"/>
        </w:tabs>
        <w:ind w:hanging="360" w:left="720"/>
      </w:pPr>
      <w:rPr>
        <w:rFonts w:cs="Times New Roman" w:hint="default"/>
      </w:rPr>
    </w:lvl>
  </w:abstractNum>
  <w:abstractNum w15:restartNumberingAfterBreak="0" w:abstractNumId="16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576" w:val="num"/>
        </w:tabs>
        <w:ind w:firstLine="216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pos="360" w:val="num"/>
        </w:tabs>
        <w:ind w:hanging="288" w:left="288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pos="540" w:val="num"/>
        </w:tabs>
        <w:ind w:firstLine="180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pos="630" w:val="num"/>
        </w:tabs>
        <w:ind w:firstLine="360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cs="Times New Roman" w:hint="default"/>
      </w:rPr>
    </w:lvl>
  </w:abstractNum>
  <w:abstractNum w15:restartNumberingAfterBreak="0" w:abstractNumId="17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hanging="360" w:left="41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19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2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40377641" w:numId="1">
    <w:abstractNumId w:val="14"/>
  </w:num>
  <w:num w16cid:durableId="1397439891" w:numId="2">
    <w:abstractNumId w:val="19"/>
  </w:num>
  <w:num w16cid:durableId="539585121" w:numId="3">
    <w:abstractNumId w:val="13"/>
  </w:num>
  <w:num w16cid:durableId="1505513160" w:numId="4">
    <w:abstractNumId w:val="16"/>
  </w:num>
  <w:num w16cid:durableId="978925957" w:numId="5">
    <w:abstractNumId w:val="16"/>
  </w:num>
  <w:num w16cid:durableId="1721400726" w:numId="6">
    <w:abstractNumId w:val="16"/>
  </w:num>
  <w:num w16cid:durableId="687826470" w:numId="7">
    <w:abstractNumId w:val="16"/>
  </w:num>
  <w:num w16cid:durableId="143812469" w:numId="8">
    <w:abstractNumId w:val="18"/>
  </w:num>
  <w:num w16cid:durableId="1364867722" w:numId="9">
    <w:abstractNumId w:val="20"/>
  </w:num>
  <w:num w16cid:durableId="2029989048" w:numId="10">
    <w:abstractNumId w:val="15"/>
  </w:num>
  <w:num w16cid:durableId="642739898" w:numId="11">
    <w:abstractNumId w:val="12"/>
  </w:num>
  <w:num w16cid:durableId="1272741182" w:numId="12">
    <w:abstractNumId w:val="11"/>
  </w:num>
  <w:num w16cid:durableId="851069540" w:numId="13">
    <w:abstractNumId w:val="0"/>
  </w:num>
  <w:num w16cid:durableId="529344390" w:numId="14">
    <w:abstractNumId w:val="10"/>
  </w:num>
  <w:num w16cid:durableId="894972538" w:numId="15">
    <w:abstractNumId w:val="8"/>
  </w:num>
  <w:num w16cid:durableId="1023093075" w:numId="16">
    <w:abstractNumId w:val="7"/>
  </w:num>
  <w:num w16cid:durableId="1951620780" w:numId="17">
    <w:abstractNumId w:val="6"/>
  </w:num>
  <w:num w16cid:durableId="1765606468" w:numId="18">
    <w:abstractNumId w:val="5"/>
  </w:num>
  <w:num w16cid:durableId="409623909" w:numId="19">
    <w:abstractNumId w:val="9"/>
  </w:num>
  <w:num w16cid:durableId="1936084648" w:numId="20">
    <w:abstractNumId w:val="4"/>
  </w:num>
  <w:num w16cid:durableId="146483437" w:numId="21">
    <w:abstractNumId w:val="3"/>
  </w:num>
  <w:num w16cid:durableId="1467505995" w:numId="22">
    <w:abstractNumId w:val="2"/>
  </w:num>
  <w:num w16cid:durableId="1408696933" w:numId="23">
    <w:abstractNumId w:val="1"/>
  </w:num>
  <w:num w16cid:durableId="1366640472" w:numId="24">
    <w:abstractNumId w:val="17"/>
  </w:num>
  <w:num w16cid:durableId="1917282883" w:numId="25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74903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D54F6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1CCC"/>
    <w:rsid w:val="00D632BE"/>
    <w:rsid w:val="00D72D06"/>
    <w:rsid w:val="00D7522C"/>
    <w:rsid w:val="00D7536F"/>
    <w:rsid w:val="00D76668"/>
    <w:rsid w:val="00D81CDC"/>
    <w:rsid w:val="00E41015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SimSun" w:hAnsi="Times New Roman"/>
        <w:lang w:bidi="ar-SA" w:eastAsia="en-US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120"/>
      <w:ind w:firstLine="288"/>
      <w:jc w:val="both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216" w:val="left"/>
      </w:tabs>
      <w:spacing w:after="80" w:before="160"/>
      <w:ind w:firstLine="0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360" w:val="clear"/>
        <w:tab w:pos="288" w:val="num"/>
      </w:tabs>
      <w:spacing w:after="60" w:before="120"/>
      <w:jc w:val="lef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630" w:val="clear"/>
        <w:tab w:pos="720" w:val="left"/>
      </w:tabs>
      <w:spacing w:after="40" w:before="40"/>
      <w:ind w:firstLine="504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360" w:val="left"/>
      </w:tabs>
      <w:spacing w:after="80" w:before="160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40" w:before="360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288" w:val="left"/>
      </w:tabs>
      <w:spacing w:line="228" w:lineRule="auto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648" w:val="clear"/>
      </w:tabs>
      <w:ind w:hanging="288" w:left="576"/>
    </w:pPr>
  </w:style>
  <w:style w:customStyle="1" w:styleId="equation" w:type="paragraph">
    <w:name w:val="equation"/>
    <w:basedOn w:val="Normal"/>
    <w:rsid w:val="008A2C7D"/>
    <w:pPr>
      <w:tabs>
        <w:tab w:pos="2520" w:val="center"/>
        <w:tab w:pos="5040" w:val="right"/>
      </w:tabs>
      <w:spacing w:after="240" w:before="240" w:line="216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533" w:val="left"/>
      </w:tabs>
      <w:spacing w:after="200" w:before="80"/>
      <w:ind w:firstLine="0" w:left="0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187" w:vAnchor="text" w:vSpace="187" w:wrap="notBeside" w:x="6121" w:y="577"/>
      <w:numPr>
        <w:numId w:val="3"/>
      </w:numPr>
      <w:spacing w:after="40"/>
    </w:pPr>
    <w:rPr>
      <w:sz w:val="16"/>
      <w:szCs w:val="16"/>
    </w:rPr>
  </w:style>
  <w:style w:customStyle="1" w:styleId="papersubtitle" w:type="paragraph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link w:val="papertitleChar"/>
    <w:pPr>
      <w:spacing w:after="120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615" w:y="2239"/>
      <w:pBdr>
        <w:top w:color="auto" w:space="2" w:sz="4" w:val="single"/>
      </w:pBdr>
      <w:ind w:firstLine="288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30" w:before="60"/>
      <w:ind w:hanging="29" w:left="58"/>
      <w:jc w:val="right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120" w:before="240" w:line="216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120"/>
      <w:ind w:firstLine="274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styleId="Title" w:type="paragraph">
    <w:name w:val="Title"/>
    <w:basedOn w:val="Normal"/>
    <w:next w:val="Normal"/>
    <w:link w:val="TitleChar"/>
    <w:qFormat/>
    <w:rsid w:val="00E41015"/>
    <w:pPr>
      <w:contextualSpacing/>
      <w:jc w:val="center"/>
    </w:pPr>
    <w:rPr>
      <w:rFonts w:eastAsiaTheme="majorEastAsia"/>
      <w:spacing w:val="-10"/>
      <w:kern w:val="28"/>
      <w:sz w:val="48"/>
      <w:szCs w:val="56"/>
    </w:rPr>
  </w:style>
  <w:style w:customStyle="1" w:styleId="TitleChar" w:type="character">
    <w:name w:val="Title Char"/>
    <w:basedOn w:val="DefaultParagraphFont"/>
    <w:link w:val="Title"/>
    <w:rsid w:val="00E41015"/>
    <w:rPr>
      <w:rFonts w:eastAsiaTheme="majorEastAsia"/>
      <w:spacing w:val="-10"/>
      <w:kern w:val="28"/>
      <w:sz w:val="48"/>
      <w:szCs w:val="56"/>
    </w:rPr>
  </w:style>
  <w:style w:styleId="Caption" w:type="paragraph">
    <w:name w:val="caption"/>
    <w:basedOn w:val="Normal"/>
    <w:next w:val="Normal"/>
    <w:semiHidden/>
    <w:unhideWhenUsed/>
    <w:qFormat/>
    <w:rsid w:val="00E41015"/>
    <w:pPr>
      <w:spacing w:after="200" w:before="80"/>
    </w:pPr>
    <w:rPr>
      <w:iCs/>
      <w:color w:themeColor="text2" w:val="44546A"/>
      <w:sz w:val="16"/>
      <w:szCs w:val="18"/>
    </w:rPr>
  </w:style>
  <w:style w:customStyle="1" w:styleId="SourceCode" w:type="paragraph">
    <w:name w:val="Source Code"/>
    <w:basedOn w:val="papertitle"/>
    <w:link w:val="SourceCodeChar"/>
    <w:rsid w:val="00E41015"/>
    <w:pPr>
      <w:spacing w:after="0" w:afterAutospacing="1" w:beforeAutospacing="1"/>
      <w:jc w:val="left"/>
    </w:pPr>
    <w:rPr>
      <w:rFonts w:ascii="Courier New" w:cs="Courier New" w:hAnsi="Courier New"/>
      <w:sz w:val="14"/>
    </w:rPr>
  </w:style>
  <w:style w:customStyle="1" w:styleId="papertitleChar" w:type="character">
    <w:name w:val="paper title Char"/>
    <w:basedOn w:val="DefaultParagraphFont"/>
    <w:link w:val="papertitle"/>
    <w:rsid w:val="00E41015"/>
    <w:rPr>
      <w:rFonts w:eastAsia="MS Mincho"/>
      <w:noProof/>
      <w:sz w:val="48"/>
      <w:szCs w:val="48"/>
    </w:rPr>
  </w:style>
  <w:style w:customStyle="1" w:styleId="SourceCodeChar" w:type="character">
    <w:name w:val="Source Code Char"/>
    <w:basedOn w:val="papertitleChar"/>
    <w:link w:val="SourceCode"/>
    <w:rsid w:val="00E41015"/>
    <w:rPr>
      <w:rFonts w:ascii="Courier New" w:cs="Courier New" w:eastAsia="MS Mincho" w:hAnsi="Courier New"/>
      <w:noProof/>
      <w:sz w:val="14"/>
      <w:szCs w:val="48"/>
    </w:rPr>
  </w:style>
  <w:style w:customStyle="1" w:styleId="Table" w:type="table">
    <w:name w:val="Table"/>
    <w:basedOn w:val="TableNormal"/>
    <w:rsid w:val="00E41015"/>
    <w:rPr>
      <w:sz w:val="16"/>
    </w:rPr>
    <w:tblPr/>
  </w:style>
  <w:style w:styleId="Bibliography" w:type="paragraph">
    <w:name w:val="Bibliography"/>
    <w:basedOn w:val="Normal"/>
    <w:next w:val="Normal"/>
    <w:uiPriority w:val="37"/>
    <w:semiHidden/>
    <w:unhideWhenUsed/>
    <w:rsid w:val="00E41015"/>
    <w:pPr>
      <w:spacing w:after="50"/>
      <w:ind w:firstLine="0"/>
    </w:pPr>
    <w:rPr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41" Target="media/rId41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5" Target="https://doi.org/10.18637/jss.v027.i03" TargetMode="External" /><Relationship Type="http://schemas.openxmlformats.org/officeDocument/2006/relationships/hyperlink" Id="rId33" Target="https://otexts.com/fpp3/" TargetMode="External" /><Relationship Type="http://schemas.openxmlformats.org/officeDocument/2006/relationships/hyperlink" Id="rId37" Target="https://pkg.robjhyndman.com/forecast/reference/checkresiduals.html" TargetMode="External" /><Relationship Type="http://schemas.openxmlformats.org/officeDocument/2006/relationships/hyperlink" Id="rId31" Target="https://power.larc.nasa.gov/docs/services/api/temporal/monthl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8637/jss.v027.i03" TargetMode="External" /><Relationship Type="http://schemas.openxmlformats.org/officeDocument/2006/relationships/hyperlink" Id="rId33" Target="https://otexts.com/fpp3/" TargetMode="External" /><Relationship Type="http://schemas.openxmlformats.org/officeDocument/2006/relationships/hyperlink" Id="rId37" Target="https://pkg.robjhyndman.com/forecast/reference/checkresiduals.html" TargetMode="External" /><Relationship Type="http://schemas.openxmlformats.org/officeDocument/2006/relationships/hyperlink" Id="rId31" Target="https://power.larc.nasa.gov/docs/services/api/temporal/monthl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2275</Words>
  <Characters>12971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 Monthly Solar Irradiance in Kuala Lumpur Using ARIMA</dc:title>
  <dc:creator/>
  <dc:language>en-GB</dc:language>
  <cp:keywords/>
  <dcterms:created xsi:type="dcterms:W3CDTF">2026-09-02T03:15:54Z</dcterms:created>
  <dcterms:modified xsi:type="dcterms:W3CDTF">2026-09-02T03:15:54Z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ieee.csl</vt:lpwstr>
  </property>
  <property fmtid="{D5CDD505-2E9C-101B-9397-08002B2CF9AE}" pid="4" name="link-citations">
    <vt:lpwstr>False</vt:lpwstr>
  </property>
  <property fmtid="{D5CDD505-2E9C-101B-9397-08002B2CF9AE}" pid="5" name="number-sections">
    <vt:lpwstr>False</vt:lpwstr>
  </property>
  <property fmtid="{D5CDD505-2E9C-101B-9397-08002B2CF9AE}" pid="6" name="table-caption-position">
    <vt:lpwstr>above</vt:lpwstr>
  </property>
</Properties>
</file>