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9.png" ContentType="image/png"/>
  <Override PartName="/word/media/rId26.png" ContentType="image/png"/>
  <Override PartName="/word/media/rId29.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Additive Holt–Winters Forecasting of Monthly Solar Irradiance</w:t>
      </w:r>
    </w:p>
    <w:p>
      <w:pPr>
        <w:pStyle w:val="Author"/>
      </w:pPr>
      <w:r>
        <w:t xml:space="preserve">[Member 2 name]</w:t>
      </w:r>
    </w:p>
    <w:p>
      <w:pPr>
        <w:pStyle w:val="Affiliation"/>
      </w:pPr>
      <w:r>
        <w:t xml:space="preserve">[University and faculty]</w:t>
      </w:r>
      <w:r>
        <w:br/>
      </w:r>
      <w:r>
        <w:t xml:space="preserve">BMMS2094 Statistics for Data Science · Student ID: [ID] · Tutorial/Group: [Identifier]</w:t>
      </w:r>
      <w:r>
        <w:br/>
      </w:r>
      <w:r>
        <w:t xml:space="preserve">Assigned model: Additive Holt–Winters · Submission date: [DD Month YYYY]</w:t>
      </w:r>
    </w:p>
    <w:p>
      <w:pPr>
        <w:sectPr>
          <w:type w:val="continuous"/>
          <w:pgSz w:w="12240" w:h="15840"/>
          <w:pgMar w:top="1080" w:right="893" w:bottom="1440" w:left="893" w:header="720" w:footer="720" w:gutter="0"/>
          <w:cols w:num="1" w:space="720"/>
          <w:docGrid w:linePitch="360"/>
        </w:sectPr>
      </w:pPr>
    </w:p>
    <w:p>
      <w:pPr>
        <w:pStyle w:val="Abstract"/>
      </w:pPr>
      <w:r>
        <w:rPr>
          <w:b/>
          <w:bCs/>
        </w:rPr>
        <w:t xml:space="preserve">Abstract—</w:t>
      </w:r>
      <w:r>
        <w:t xml:space="preserve">This report evaluates additive Holt–Winters forecasting without a trend for monthly NASA POWER surface solar irradiance in Kuala Lumpur. The model preserved the annual cycle, passed residual diagnostics, and achieved test RMSE 0.3101, but ranked fourth among the compared methods.</w:t>
      </w:r>
    </w:p>
    <w:p>
      <w:pPr>
        <w:pStyle w:val="Keywords"/>
      </w:pPr>
      <w:r>
        <w:rPr>
          <w:b/>
          <w:bCs/>
        </w:rPr>
        <w:t xml:space="preserve">Keywords—</w:t>
      </w:r>
      <w:r>
        <w:t xml:space="preserve">additive seasonality, exponential smoothing, forecasting, Holt–Winters, solar irradiance.</w:t>
      </w:r>
    </w:p>
    <w:bookmarkStart w:id="22" w:name="methodology"/>
    <w:p>
      <w:pPr>
        <w:pStyle w:val="Heading1"/>
      </w:pPr>
      <w:r>
        <w:t xml:space="preserve">Methodology</w:t>
      </w:r>
    </w:p>
    <w:p>
      <w:pPr>
        <w:pStyle w:val="FirstParagraph"/>
      </w:pPr>
      <w:r>
        <w:t xml:space="preserve">This report proposes evaluating Holt–Winters exponential smoothing for monthly NASA POWER solar irradiance in Kuala Lumpur</w:t>
      </w:r>
      <w:r>
        <w:t xml:space="preserve"> </w:t>
      </w:r>
      <w:r>
        <w:t xml:space="preserve">[1]</w:t>
      </w:r>
      <w:r>
        <w:t xml:space="preserve">. The method recursively updates level and month-specific seasonal states; a trend state is optional. Additive and multiplicative seasonality would be considered according to whether seasonal amplitude was stable in absolute units or proportional to the series level</w:t>
      </w:r>
      <w:r>
        <w:t xml:space="preserve"> </w:t>
      </w:r>
      <w:r>
        <w:t xml:space="preserve">[2]</w:t>
      </w:r>
      <w:r>
        <w:t xml:space="preserve">.</w:t>
      </w:r>
    </w:p>
    <w:p>
      <w:pPr>
        <w:pStyle w:val="BodyText"/>
      </w:pPr>
      <w:r>
        <w:t xml:space="preserve">The chronological design would use January 2001–December 2020 for training and January 2021–December 2025 for testing. Both partitions contain complete annual cycles, whereas random splitting would leak future data and exact 70:30 would break seasonal boundaries. The need for transformation would be assessed from training diagnostics only, with response-scale modelling preferred for interpretability and direct error comparison when transformation was unnecessary.</w:t>
      </w:r>
    </w:p>
    <w:p>
      <w:pPr>
        <w:pStyle w:val="BodyText"/>
      </w:pPr>
      <w:r>
        <w:t xml:space="preserve">Training plots and STL decomposition would inform the seasonal form and whether a trend component was warranted. Additive seasonality would be favoured when seasonal amplitude remained approximately constant in response units; multiplicative seasonality would be considered when amplitude varied proportionally with the level. Because STL is descriptive and additive in form, this decision would also use the original training plot, variance/transformation evidence, and candidate-fit behaviour. R would optimise the applicable level, trend, and seasonal smoothing parameters by minimising one-step squared errors, using documented initialisation. The observed evidence, selected form, fitted parameter values, their interpretation, and any convergence warning would be presented in the results.</w:t>
      </w:r>
    </w:p>
    <w:p>
      <w:pPr>
        <w:pStyle w:val="BodyText"/>
      </w:pPr>
      <w:r>
        <w:t xml:space="preserve">Response residuals would be inspected over time and by ACF, followed by a lag-24 Ljung–Box test with the appropriate fitted degrees of freedom</w:t>
      </w:r>
      <w:r>
        <w:t xml:space="preserve"> </w:t>
      </w:r>
      <w:r>
        <w:t xml:space="preserve">[3]</w:t>
      </w:r>
      <w:r>
        <w:t xml:space="preserve">. Material remaining autocorrelation would trigger reconsideration of the specification. Common test measures would be calculated only after the model was locked from training data.</w:t>
      </w:r>
    </w:p>
    <w:bookmarkEnd w:id="22"/>
    <w:bookmarkStart w:id="42" w:name="results-discussion-and-conclusion"/>
    <w:p>
      <w:pPr>
        <w:pStyle w:val="Heading1"/>
      </w:pPr>
      <w:r>
        <w:t xml:space="preserve">Results, Discussion, and Conclusion</w:t>
      </w:r>
    </w:p>
    <w:p>
      <w:pPr>
        <w:pStyle w:val="FirstParagraph"/>
      </w:pPr>
      <w:r>
        <w:rPr>
          <w:b/>
          <w:bCs/>
        </w:rPr>
        <w:t xml:space="preserve">Training evidence and model identification—</w:t>
      </w:r>
      <w:r>
        <w:t xml:space="preserve">The 2001–2020 time plot showed seasonal fluctuations of broadly stable absolute size, while the STL decomposition showed a strong annual component but only modest long-term movement. Together with the response-scale variance assessment, this supported additive rather than multiplicative seasonality and did not provide a strong case for trend extrapolation. The evidence therefore preceded and supported the locked specification</w:t>
      </w:r>
      <w:r>
        <w:t xml:space="preserve"> </w:t>
      </w:r>
      <w:r>
        <w:rPr>
          <w:rStyle w:val="VerbatimChar"/>
        </w:rPr>
        <w:t xml:space="preserve">HoltWinters(train, beta=FALSE, seasonal="additive")</w:t>
      </w:r>
      <w:r>
        <w:t xml:space="preserve">.</w:t>
      </w:r>
    </w:p>
    <w:p>
      <w:pPr>
        <w:pStyle w:val="CaptionedFigure"/>
      </w:pPr>
      <w:r>
        <w:drawing>
          <wp:inline>
            <wp:extent cx="2926080" cy="2560320"/>
            <wp:effectExtent b="0" l="0" r="0" t="0"/>
            <wp:docPr descr="Training-only time series and STL components used for model identification." title="" id="24" name="Picture"/>
            <a:graphic>
              <a:graphicData uri="http://schemas.openxmlformats.org/drawingml/2006/picture">
                <pic:pic>
                  <pic:nvPicPr>
                    <pic:cNvPr descr="../analysis_outputs/nasa/figures/nasa_training_identification.png" id="25" name="Picture"/>
                    <pic:cNvPicPr>
                      <a:picLocks noChangeArrowheads="1" noChangeAspect="1"/>
                    </pic:cNvPicPr>
                  </pic:nvPicPr>
                  <pic:blipFill>
                    <a:blip r:embed="rId23"/>
                    <a:stretch>
                      <a:fillRect/>
                    </a:stretch>
                  </pic:blipFill>
                  <pic:spPr bwMode="auto">
                    <a:xfrm>
                      <a:off x="0" y="0"/>
                      <a:ext cx="2926080" cy="2560320"/>
                    </a:xfrm>
                    <a:prstGeom prst="rect">
                      <a:avLst/>
                    </a:prstGeom>
                    <a:noFill/>
                    <a:ln w="9525">
                      <a:noFill/>
                      <a:headEnd/>
                      <a:tailEnd/>
                    </a:ln>
                  </pic:spPr>
                </pic:pic>
              </a:graphicData>
            </a:graphic>
          </wp:inline>
        </w:drawing>
      </w:r>
    </w:p>
    <w:p>
      <w:pPr>
        <w:pStyle w:val="ImageCaption"/>
      </w:pPr>
      <w:r>
        <w:t xml:space="preserve">Training-only time series and STL components used for model identification.</w:t>
      </w:r>
    </w:p>
    <w:p>
      <w:r>
        <w:br w:type="column"/>
      </w:r>
    </w:p>
    <w:p>
      <w:pPr>
        <w:pStyle w:val="BodyText"/>
      </w:pPr>
      <w:r>
        <w:t xml:space="preserve">The fitted smoothing values were α=0.0273 and γ=0.1366; β was absent because trend smoothing was disabled. At lag 24 with two fitted smoothing degrees of freedom, the Ljung–Box result was</w:t>
      </w:r>
      <w:r>
        <w:t xml:space="preserve"> </w:t>
      </w:r>
      <m:oMath>
        <m:r>
          <m:t>Q</m:t>
        </m:r>
        <m:r>
          <m:rPr>
            <m:sty m:val="p"/>
          </m:rPr>
          <m:t>=</m:t>
        </m:r>
        <m:r>
          <m:t>28.852</m:t>
        </m:r>
      </m:oMath>
      <w:r>
        <w:t xml:space="preserve">,</w:t>
      </w:r>
      <w:r>
        <w:t xml:space="preserve"> </w:t>
      </w:r>
      <m:oMath>
        <m:r>
          <m:t>p</m:t>
        </m:r>
        <m:r>
          <m:rPr>
            <m:sty m:val="p"/>
          </m:rPr>
          <m:t>=</m:t>
        </m:r>
        <m:r>
          <m:t>.149</m:t>
        </m:r>
      </m:oMath>
      <w:r>
        <w:t xml:space="preserve">, so residual white noise was not rejected.</w:t>
      </w:r>
    </w:p>
    <w:p>
      <w:pPr>
        <w:pStyle w:val="CaptionedFigure"/>
      </w:pPr>
      <w:r>
        <w:drawing>
          <wp:inline>
            <wp:extent cx="2926080" cy="1706880"/>
            <wp:effectExtent b="0" l="0" r="0" t="0"/>
            <wp:docPr descr="Holt–Winters test accuracy and residual diagnostic." title="" id="27" name="Picture"/>
            <a:graphic>
              <a:graphicData uri="http://schemas.openxmlformats.org/drawingml/2006/picture">
                <pic:pic>
                  <pic:nvPicPr>
                    <pic:cNvPr descr="../analysis_outputs/nasa/figures/nasa_holt_winters_metric_table.png" id="28" name="Picture"/>
                    <pic:cNvPicPr>
                      <a:picLocks noChangeArrowheads="1" noChangeAspect="1"/>
                    </pic:cNvPicPr>
                  </pic:nvPicPr>
                  <pic:blipFill>
                    <a:blip r:embed="rId26"/>
                    <a:stretch>
                      <a:fillRect/>
                    </a:stretch>
                  </pic:blipFill>
                  <pic:spPr bwMode="auto">
                    <a:xfrm>
                      <a:off x="0" y="0"/>
                      <a:ext cx="2926080" cy="1706880"/>
                    </a:xfrm>
                    <a:prstGeom prst="rect">
                      <a:avLst/>
                    </a:prstGeom>
                    <a:noFill/>
                    <a:ln w="9525">
                      <a:noFill/>
                      <a:headEnd/>
                      <a:tailEnd/>
                    </a:ln>
                  </pic:spPr>
                </pic:pic>
              </a:graphicData>
            </a:graphic>
          </wp:inline>
        </w:drawing>
      </w:r>
    </w:p>
    <w:p>
      <w:pPr>
        <w:pStyle w:val="ImageCaption"/>
      </w:pPr>
      <w:r>
        <w:t xml:space="preserve">Holt–Winters test accuracy and residual diagnostic.</w:t>
      </w:r>
    </w:p>
    <w:p>
      <w:pPr>
        <w:pStyle w:val="CaptionedFigure"/>
      </w:pPr>
      <w:r>
        <w:drawing>
          <wp:inline>
            <wp:extent cx="2926080" cy="1645920"/>
            <wp:effectExtent b="0" l="0" r="0" t="0"/>
            <wp:docPr descr="Holt–Winters test forecasts with 95% intervals." title="" id="30" name="Picture"/>
            <a:graphic>
              <a:graphicData uri="http://schemas.openxmlformats.org/drawingml/2006/picture">
                <pic:pic>
                  <pic:nvPicPr>
                    <pic:cNvPr descr="../analysis_outputs/nasa/figures/nasa_holt_winters_test_forecast.png" id="31" name="Picture"/>
                    <pic:cNvPicPr>
                      <a:picLocks noChangeArrowheads="1" noChangeAspect="1"/>
                    </pic:cNvPicPr>
                  </pic:nvPicPr>
                  <pic:blipFill>
                    <a:blip r:embed="rId29"/>
                    <a:stretch>
                      <a:fillRect/>
                    </a:stretch>
                  </pic:blipFill>
                  <pic:spPr bwMode="auto">
                    <a:xfrm>
                      <a:off x="0" y="0"/>
                      <a:ext cx="2926080" cy="1645920"/>
                    </a:xfrm>
                    <a:prstGeom prst="rect">
                      <a:avLst/>
                    </a:prstGeom>
                    <a:noFill/>
                    <a:ln w="9525">
                      <a:noFill/>
                      <a:headEnd/>
                      <a:tailEnd/>
                    </a:ln>
                  </pic:spPr>
                </pic:pic>
              </a:graphicData>
            </a:graphic>
          </wp:inline>
        </w:drawing>
      </w:r>
    </w:p>
    <w:p>
      <w:pPr>
        <w:pStyle w:val="ImageCaption"/>
      </w:pPr>
      <w:r>
        <w:t xml:space="preserve">Holt–Winters test forecasts with 95% intervals.</w:t>
      </w:r>
    </w:p>
    <w:p>
      <w:pPr>
        <w:pStyle w:val="BodyText"/>
      </w:pPr>
      <w:r>
        <w:t xml:space="preserve">Holt–Winters reproduced the annual cycle, yielded non-negative point forecasts, and passed residual diagnostics, but ranked fourth on RMSE and MAE. Its RMSE was about 5.9% higher than SARIMA’s. Slow adaptation helps suppress noise but may lag changes over a five-year forecast; fixed additive seasonality can also be restrictive. Conversely, the method is transparent and computationally simple.</w:t>
      </w:r>
    </w:p>
    <w:p>
      <w:pPr>
        <w:pStyle w:val="BodyText"/>
      </w:pPr>
      <w:r>
        <w:t xml:space="preserve">The model is statistically acceptable but was not the best final forecaster for this test period. Future work should compare a damped-trend formulation, multiplicative seasonality only if variance scales with level, transformation alternatives, and ETS structures under rolling-origin validation. For operational planning, the seasonal resource pattern is useful, but solar irradiance must not be interpreted as electricity production without engineering conversion factors.</w:t>
      </w:r>
    </w:p>
    <w:p>
      <w:pPr>
        <w:pStyle w:val="Heading5"/>
      </w:pPr>
      <w:r>
        <w:t xml:space="preserve">References</w:t>
      </w:r>
    </w:p>
    <w:bookmarkStart w:id="38" w:name="refs"/>
    <w:bookmarkStart w:id="33" w:name="ref-nasa-power-monthly"/>
    <w:p>
      <w:pPr>
        <w:pStyle w:val="Bibliography"/>
      </w:pPr>
      <w:r>
        <w:t xml:space="preserve">[1]</w:t>
      </w:r>
      <w:r>
        <w:t xml:space="preserve"> </w:t>
      </w:r>
      <w:r>
        <w:t xml:space="preserve">	</w:t>
      </w:r>
      <w:r>
        <w:t xml:space="preserve">NASA Prediction Of Worldwide Energy Resources,</w:t>
      </w:r>
      <w:r>
        <w:t xml:space="preserve"> </w:t>
      </w:r>
      <w:r>
        <w:t xml:space="preserve">‘Monthly and annual API’</w:t>
      </w:r>
      <w:r>
        <w:t xml:space="preserve">. Accessed: Sep. 01, 2026. [Online]. Available:</w:t>
      </w:r>
      <w:r>
        <w:t xml:space="preserve"> </w:t>
      </w:r>
      <w:hyperlink r:id="rId32">
        <w:r>
          <w:rPr>
            <w:rStyle w:val="Hyperlink"/>
          </w:rPr>
          <w:t xml:space="preserve">https://power.larc.nasa.gov/docs/services/api/temporal/monthly/</w:t>
        </w:r>
      </w:hyperlink>
    </w:p>
    <w:bookmarkEnd w:id="33"/>
    <w:bookmarkStart w:id="35" w:name="ref-hyndman-athanasopoulos-2021"/>
    <w:p>
      <w:pPr>
        <w:pStyle w:val="Bibliography"/>
      </w:pPr>
      <w:r>
        <w:t xml:space="preserve">[2]</w:t>
      </w:r>
      <w:r>
        <w:t xml:space="preserve"> </w:t>
      </w:r>
      <w:r>
        <w:t xml:space="preserve">	</w:t>
      </w:r>
      <w:r>
        <w:t xml:space="preserve">R. J. Hyndman and G. Athanasopoulos,</w:t>
      </w:r>
      <w:r>
        <w:t xml:space="preserve"> </w:t>
      </w:r>
      <w:r>
        <w:rPr>
          <w:i/>
          <w:iCs/>
        </w:rPr>
        <w:t xml:space="preserve">Forecasting: Principles and practice</w:t>
      </w:r>
      <w:r>
        <w:t xml:space="preserve">, 3rd edn. Melbourne, Australia: OTexts, 2021. Available:</w:t>
      </w:r>
      <w:r>
        <w:t xml:space="preserve"> </w:t>
      </w:r>
      <w:hyperlink r:id="rId34">
        <w:r>
          <w:rPr>
            <w:rStyle w:val="Hyperlink"/>
          </w:rPr>
          <w:t xml:space="preserve">https://otexts.com/fpp3/</w:t>
        </w:r>
      </w:hyperlink>
    </w:p>
    <w:bookmarkEnd w:id="35"/>
    <w:bookmarkStart w:id="37" w:name="ref-forecast-checkresiduals"/>
    <w:p>
      <w:pPr>
        <w:pStyle w:val="Bibliography"/>
      </w:pPr>
      <w:r>
        <w:t xml:space="preserve">[3]</w:t>
      </w:r>
      <w:r>
        <w:t xml:space="preserve"> </w:t>
      </w:r>
      <w:r>
        <w:t xml:space="preserve">	</w:t>
      </w:r>
      <w:r>
        <w:t xml:space="preserve">R. J. Hyndman,</w:t>
      </w:r>
      <w:r>
        <w:t xml:space="preserve"> </w:t>
      </w:r>
      <w:r>
        <w:t xml:space="preserve">‘Check that residuals from a time series model look like white noise’</w:t>
      </w:r>
      <w:r>
        <w:t xml:space="preserve">. Accessed: Sep. 01, 2026. [Online]. Available:</w:t>
      </w:r>
      <w:r>
        <w:t xml:space="preserve"> </w:t>
      </w:r>
      <w:hyperlink r:id="rId36">
        <w:r>
          <w:rPr>
            <w:rStyle w:val="Hyperlink"/>
          </w:rPr>
          <w:t xml:space="preserve">https://pkg.robjhyndman.com/forecast/reference/checkresiduals.html</w:t>
        </w:r>
      </w:hyperlink>
    </w:p>
    <w:bookmarkEnd w:id="37"/>
    <w:bookmarkEnd w:id="38"/>
    <w:p>
      <w:pPr>
        <w:pStyle w:val="Heading5"/>
      </w:pPr>
      <w:r>
        <w:t xml:space="preserve">Appendix A: Reproducible Holt–Winters Code</w:t>
      </w:r>
    </w:p>
    <w:p>
      <w:pPr>
        <w:pStyle w:val="BodyText"/>
      </w:pPr>
      <w:r>
        <w:t xml:space="preserve">Canonical source:</w:t>
      </w:r>
      <w:r>
        <w:t xml:space="preserve"> </w:t>
      </w:r>
      <w:r>
        <w:rPr>
          <w:rStyle w:val="VerbatimChar"/>
        </w:rPr>
        <w:t xml:space="preserve">../NASA_Solar_Irradiance_Forecasting.R</w:t>
      </w:r>
      <w:r>
        <w:t xml:space="preserve">. No random procedure is used.</w:t>
      </w:r>
    </w:p>
    <w:p>
      <w:pPr>
        <w:pStyle w:val="CaptionedFigure"/>
      </w:pPr>
      <w:r>
        <w:drawing>
          <wp:inline>
            <wp:extent cx="2926080" cy="1645920"/>
            <wp:effectExtent b="0" l="0" r="0" t="0"/>
            <wp:docPr descr="Holt–Winters training response residuals and residual ACF." title="" id="40" name="Picture"/>
            <a:graphic>
              <a:graphicData uri="http://schemas.openxmlformats.org/drawingml/2006/picture">
                <pic:pic>
                  <pic:nvPicPr>
                    <pic:cNvPr descr="../analysis_outputs/nasa/figures/nasa_holt_winters_diagnostics.png" id="41" name="Picture"/>
                    <pic:cNvPicPr>
                      <a:picLocks noChangeArrowheads="1" noChangeAspect="1"/>
                    </pic:cNvPicPr>
                  </pic:nvPicPr>
                  <pic:blipFill>
                    <a:blip r:embed="rId39"/>
                    <a:stretch>
                      <a:fillRect/>
                    </a:stretch>
                  </pic:blipFill>
                  <pic:spPr bwMode="auto">
                    <a:xfrm>
                      <a:off x="0" y="0"/>
                      <a:ext cx="2926080" cy="1645920"/>
                    </a:xfrm>
                    <a:prstGeom prst="rect">
                      <a:avLst/>
                    </a:prstGeom>
                    <a:noFill/>
                    <a:ln w="9525">
                      <a:noFill/>
                      <a:headEnd/>
                      <a:tailEnd/>
                    </a:ln>
                  </pic:spPr>
                </pic:pic>
              </a:graphicData>
            </a:graphic>
          </wp:inline>
        </w:drawing>
      </w:r>
    </w:p>
    <w:p>
      <w:pPr>
        <w:pStyle w:val="ImageCaption"/>
      </w:pPr>
      <w:r>
        <w:t xml:space="preserve">Holt–Winters training response residuals and residual ACF.</w:t>
      </w:r>
    </w:p>
    <w:p>
      <w:pPr>
        <w:pStyle w:val="SourceCode"/>
      </w:pPr>
      <w:r>
        <w:rPr>
          <w:rStyle w:val="NormalTok"/>
        </w:rPr>
        <w:t xml:space="preserve">train </w:t>
      </w:r>
      <w:r>
        <w:rPr>
          <w:rStyle w:val="OtherTok"/>
        </w:rPr>
        <w:t xml:space="preserve">&lt;-</w:t>
      </w:r>
      <w:r>
        <w:rPr>
          <w:rStyle w:val="NormalTok"/>
        </w:rPr>
        <w:t xml:space="preserve"> </w:t>
      </w:r>
      <w:r>
        <w:rPr>
          <w:rStyle w:val="FunctionTok"/>
        </w:rPr>
        <w:t xml:space="preserve">window</w:t>
      </w:r>
      <w:r>
        <w:rPr>
          <w:rStyle w:val="NormalTok"/>
        </w:rPr>
        <w:t xml:space="preserve">(series, </w:t>
      </w:r>
      <w:r>
        <w:rPr>
          <w:rStyle w:val="AttributeTok"/>
        </w:rPr>
        <w:t xml:space="preserve">end =</w:t>
      </w:r>
      <w:r>
        <w:rPr>
          <w:rStyle w:val="NormalTok"/>
        </w:rPr>
        <w:t xml:space="preserve"> </w:t>
      </w:r>
      <w:r>
        <w:rPr>
          <w:rStyle w:val="FunctionTok"/>
        </w:rPr>
        <w:t xml:space="preserve">c</w:t>
      </w:r>
      <w:r>
        <w:rPr>
          <w:rStyle w:val="NormalTok"/>
        </w:rPr>
        <w:t xml:space="preserve">(</w:t>
      </w:r>
      <w:r>
        <w:rPr>
          <w:rStyle w:val="DecValTok"/>
        </w:rPr>
        <w:t xml:space="preserve">2020</w:t>
      </w:r>
      <w:r>
        <w:rPr>
          <w:rStyle w:val="NormalTok"/>
        </w:rPr>
        <w:t xml:space="preserve">, </w:t>
      </w:r>
      <w:r>
        <w:rPr>
          <w:rStyle w:val="DecValTok"/>
        </w:rPr>
        <w:t xml:space="preserve">12</w:t>
      </w:r>
      <w:r>
        <w:rPr>
          <w:rStyle w:val="NormalTok"/>
        </w:rPr>
        <w:t xml:space="preserve">))</w:t>
      </w:r>
      <w:r>
        <w:br/>
      </w:r>
      <w:r>
        <w:rPr>
          <w:rStyle w:val="NormalTok"/>
        </w:rPr>
        <w:t xml:space="preserve">test  </w:t>
      </w:r>
      <w:r>
        <w:rPr>
          <w:rStyle w:val="OtherTok"/>
        </w:rPr>
        <w:t xml:space="preserve">&lt;-</w:t>
      </w:r>
      <w:r>
        <w:rPr>
          <w:rStyle w:val="NormalTok"/>
        </w:rPr>
        <w:t xml:space="preserve"> </w:t>
      </w:r>
      <w:r>
        <w:rPr>
          <w:rStyle w:val="FunctionTok"/>
        </w:rPr>
        <w:t xml:space="preserve">window</w:t>
      </w:r>
      <w:r>
        <w:rPr>
          <w:rStyle w:val="NormalTok"/>
        </w:rPr>
        <w:t xml:space="preserve">(series, </w:t>
      </w:r>
      <w:r>
        <w:rPr>
          <w:rStyle w:val="AttributeTok"/>
        </w:rPr>
        <w:t xml:space="preserve">start =</w:t>
      </w:r>
      <w:r>
        <w:rPr>
          <w:rStyle w:val="NormalTok"/>
        </w:rPr>
        <w:t xml:space="preserve"> </w:t>
      </w:r>
      <w:r>
        <w:rPr>
          <w:rStyle w:val="FunctionTok"/>
        </w:rPr>
        <w:t xml:space="preserve">c</w:t>
      </w:r>
      <w:r>
        <w:rPr>
          <w:rStyle w:val="NormalTok"/>
        </w:rPr>
        <w:t xml:space="preserve">(</w:t>
      </w:r>
      <w:r>
        <w:rPr>
          <w:rStyle w:val="DecValTok"/>
        </w:rPr>
        <w:t xml:space="preserve">2021</w:t>
      </w:r>
      <w:r>
        <w:rPr>
          <w:rStyle w:val="NormalTok"/>
        </w:rPr>
        <w:t xml:space="preserve">, </w:t>
      </w:r>
      <w:r>
        <w:rPr>
          <w:rStyle w:val="DecValTok"/>
        </w:rPr>
        <w:t xml:space="preserve">1</w:t>
      </w:r>
      <w:r>
        <w:rPr>
          <w:rStyle w:val="NormalTok"/>
        </w:rPr>
        <w:t xml:space="preserve">))</w:t>
      </w:r>
      <w:r>
        <w:br/>
      </w:r>
      <w:r>
        <w:br/>
      </w:r>
      <w:r>
        <w:rPr>
          <w:rStyle w:val="NormalTok"/>
        </w:rPr>
        <w:t xml:space="preserve">hw_fit </w:t>
      </w:r>
      <w:r>
        <w:rPr>
          <w:rStyle w:val="OtherTok"/>
        </w:rPr>
        <w:t xml:space="preserve">&lt;-</w:t>
      </w:r>
      <w:r>
        <w:rPr>
          <w:rStyle w:val="NormalTok"/>
        </w:rPr>
        <w:t xml:space="preserve"> </w:t>
      </w:r>
      <w:r>
        <w:rPr>
          <w:rStyle w:val="FunctionTok"/>
        </w:rPr>
        <w:t xml:space="preserve">HoltWinters</w:t>
      </w:r>
      <w:r>
        <w:rPr>
          <w:rStyle w:val="NormalTok"/>
        </w:rPr>
        <w:t xml:space="preserve">(train, </w:t>
      </w:r>
      <w:r>
        <w:rPr>
          <w:rStyle w:val="AttributeTok"/>
        </w:rPr>
        <w:t xml:space="preserve">beta =</w:t>
      </w:r>
      <w:r>
        <w:rPr>
          <w:rStyle w:val="NormalTok"/>
        </w:rPr>
        <w:t xml:space="preserve"> </w:t>
      </w:r>
      <w:r>
        <w:rPr>
          <w:rStyle w:val="ConstantTok"/>
        </w:rPr>
        <w:t xml:space="preserve">FALSE</w:t>
      </w:r>
      <w:r>
        <w:rPr>
          <w:rStyle w:val="NormalTok"/>
        </w:rPr>
        <w:t xml:space="preserve">, </w:t>
      </w:r>
      <w:r>
        <w:rPr>
          <w:rStyle w:val="AttributeTok"/>
        </w:rPr>
        <w:t xml:space="preserve">seasonal =</w:t>
      </w:r>
      <w:r>
        <w:rPr>
          <w:rStyle w:val="NormalTok"/>
        </w:rPr>
        <w:t xml:space="preserve"> </w:t>
      </w:r>
      <w:r>
        <w:rPr>
          <w:rStyle w:val="StringTok"/>
        </w:rPr>
        <w:t xml:space="preserve">"additive"</w:t>
      </w:r>
      <w:r>
        <w:rPr>
          <w:rStyle w:val="NormalTok"/>
        </w:rPr>
        <w:t xml:space="preserve">)</w:t>
      </w:r>
      <w:r>
        <w:br/>
      </w:r>
      <w:r>
        <w:rPr>
          <w:rStyle w:val="NormalTok"/>
        </w:rPr>
        <w:t xml:space="preserve">hw_fc </w:t>
      </w:r>
      <w:r>
        <w:rPr>
          <w:rStyle w:val="OtherTok"/>
        </w:rPr>
        <w:t xml:space="preserve">&lt;-</w:t>
      </w:r>
      <w:r>
        <w:rPr>
          <w:rStyle w:val="NormalTok"/>
        </w:rPr>
        <w:t xml:space="preserve"> </w:t>
      </w:r>
      <w:r>
        <w:rPr>
          <w:rStyle w:val="FunctionTok"/>
        </w:rPr>
        <w:t xml:space="preserve">forecast</w:t>
      </w:r>
      <w:r>
        <w:rPr>
          <w:rStyle w:val="NormalTok"/>
        </w:rPr>
        <w:t xml:space="preserve">(hw_fit, </w:t>
      </w:r>
      <w:r>
        <w:rPr>
          <w:rStyle w:val="AttributeTok"/>
        </w:rPr>
        <w:t xml:space="preserve">h =</w:t>
      </w:r>
      <w:r>
        <w:rPr>
          <w:rStyle w:val="NormalTok"/>
        </w:rPr>
        <w:t xml:space="preserve"> </w:t>
      </w:r>
      <w:r>
        <w:rPr>
          <w:rStyle w:val="FunctionTok"/>
        </w:rPr>
        <w:t xml:space="preserve">length</w:t>
      </w:r>
      <w:r>
        <w:rPr>
          <w:rStyle w:val="NormalTok"/>
        </w:rPr>
        <w:t xml:space="preserve">(test), </w:t>
      </w:r>
      <w:r>
        <w:rPr>
          <w:rStyle w:val="AttributeTok"/>
        </w:rPr>
        <w:t xml:space="preserve">level =</w:t>
      </w:r>
      <w:r>
        <w:rPr>
          <w:rStyle w:val="NormalTok"/>
        </w:rPr>
        <w:t xml:space="preserve"> </w:t>
      </w:r>
      <w:r>
        <w:rPr>
          <w:rStyle w:val="FunctionTok"/>
        </w:rPr>
        <w:t xml:space="preserve">c</w:t>
      </w:r>
      <w:r>
        <w:rPr>
          <w:rStyle w:val="NormalTok"/>
        </w:rPr>
        <w:t xml:space="preserve">(</w:t>
      </w:r>
      <w:r>
        <w:rPr>
          <w:rStyle w:val="DecValTok"/>
        </w:rPr>
        <w:t xml:space="preserve">80</w:t>
      </w:r>
      <w:r>
        <w:rPr>
          <w:rStyle w:val="NormalTok"/>
        </w:rPr>
        <w:t xml:space="preserve">, </w:t>
      </w:r>
      <w:r>
        <w:rPr>
          <w:rStyle w:val="DecValTok"/>
        </w:rPr>
        <w:t xml:space="preserve">95</w:t>
      </w:r>
      <w:r>
        <w:rPr>
          <w:rStyle w:val="NormalTok"/>
        </w:rPr>
        <w:t xml:space="preserve">))</w:t>
      </w:r>
      <w:r>
        <w:br/>
      </w:r>
      <w:r>
        <w:rPr>
          <w:rStyle w:val="NormalTok"/>
        </w:rPr>
        <w:t xml:space="preserve">hw_fitted </w:t>
      </w:r>
      <w:r>
        <w:rPr>
          <w:rStyle w:val="OtherTok"/>
        </w:rPr>
        <w:t xml:space="preserve">&lt;-</w:t>
      </w:r>
      <w:r>
        <w:rPr>
          <w:rStyle w:val="NormalTok"/>
        </w:rPr>
        <w:t xml:space="preserve"> </w:t>
      </w:r>
      <w:r>
        <w:rPr>
          <w:rStyle w:val="FunctionTok"/>
        </w:rPr>
        <w:t xml:space="preserve">fitted</w:t>
      </w:r>
      <w:r>
        <w:rPr>
          <w:rStyle w:val="NormalTok"/>
        </w:rPr>
        <w:t xml:space="preserve">(hw_fit)[, </w:t>
      </w:r>
      <w:r>
        <w:rPr>
          <w:rStyle w:val="DecValTok"/>
        </w:rPr>
        <w:t xml:space="preserve">1</w:t>
      </w:r>
      <w:r>
        <w:rPr>
          <w:rStyle w:val="NormalTok"/>
        </w:rPr>
        <w:t xml:space="preserve">]</w:t>
      </w:r>
      <w:r>
        <w:br/>
      </w:r>
      <w:r>
        <w:rPr>
          <w:rStyle w:val="NormalTok"/>
        </w:rPr>
        <w:t xml:space="preserve">hw_actual </w:t>
      </w:r>
      <w:r>
        <w:rPr>
          <w:rStyle w:val="OtherTok"/>
        </w:rPr>
        <w:t xml:space="preserve">&lt;-</w:t>
      </w:r>
      <w:r>
        <w:rPr>
          <w:rStyle w:val="NormalTok"/>
        </w:rPr>
        <w:t xml:space="preserve"> </w:t>
      </w:r>
      <w:r>
        <w:rPr>
          <w:rStyle w:val="FunctionTok"/>
        </w:rPr>
        <w:t xml:space="preserve">tail</w:t>
      </w:r>
      <w:r>
        <w:rPr>
          <w:rStyle w:val="NormalTok"/>
        </w:rPr>
        <w:t xml:space="preserve">(</w:t>
      </w:r>
      <w:r>
        <w:rPr>
          <w:rStyle w:val="FunctionTok"/>
        </w:rPr>
        <w:t xml:space="preserve">as.numeric</w:t>
      </w:r>
      <w:r>
        <w:rPr>
          <w:rStyle w:val="NormalTok"/>
        </w:rPr>
        <w:t xml:space="preserve">(train), </w:t>
      </w:r>
      <w:r>
        <w:rPr>
          <w:rStyle w:val="FunctionTok"/>
        </w:rPr>
        <w:t xml:space="preserve">length</w:t>
      </w:r>
      <w:r>
        <w:rPr>
          <w:rStyle w:val="NormalTok"/>
        </w:rPr>
        <w:t xml:space="preserve">(hw_fitted))</w:t>
      </w:r>
      <w:r>
        <w:br/>
      </w:r>
      <w:r>
        <w:rPr>
          <w:rStyle w:val="NormalTok"/>
        </w:rPr>
        <w:t xml:space="preserve">hw_response_residuals </w:t>
      </w:r>
      <w:r>
        <w:rPr>
          <w:rStyle w:val="OtherTok"/>
        </w:rPr>
        <w:t xml:space="preserve">&lt;-</w:t>
      </w:r>
      <w:r>
        <w:rPr>
          <w:rStyle w:val="NormalTok"/>
        </w:rPr>
        <w:t xml:space="preserve"> hw_actual </w:t>
      </w:r>
      <w:r>
        <w:rPr>
          <w:rStyle w:val="SpecialCharTok"/>
        </w:rPr>
        <w:t xml:space="preserve">-</w:t>
      </w:r>
      <w:r>
        <w:rPr>
          <w:rStyle w:val="NormalTok"/>
        </w:rPr>
        <w:t xml:space="preserve"> </w:t>
      </w:r>
      <w:r>
        <w:rPr>
          <w:rStyle w:val="FunctionTok"/>
        </w:rPr>
        <w:t xml:space="preserve">as.numeric</w:t>
      </w:r>
      <w:r>
        <w:rPr>
          <w:rStyle w:val="NormalTok"/>
        </w:rPr>
        <w:t xml:space="preserve">(hw_fitted)</w:t>
      </w:r>
      <w:r>
        <w:br/>
      </w:r>
      <w:r>
        <w:rPr>
          <w:rStyle w:val="FunctionTok"/>
        </w:rPr>
        <w:t xml:space="preserve">Box.test</w:t>
      </w:r>
      <w:r>
        <w:rPr>
          <w:rStyle w:val="NormalTok"/>
        </w:rPr>
        <w:t xml:space="preserve">(hw_response_residuals, </w:t>
      </w:r>
      <w:r>
        <w:rPr>
          <w:rStyle w:val="AttributeTok"/>
        </w:rPr>
        <w:t xml:space="preserve">lag =</w:t>
      </w:r>
      <w:r>
        <w:rPr>
          <w:rStyle w:val="NormalTok"/>
        </w:rPr>
        <w:t xml:space="preserve"> </w:t>
      </w:r>
      <w:r>
        <w:rPr>
          <w:rStyle w:val="DecValTok"/>
        </w:rPr>
        <w:t xml:space="preserve">24</w:t>
      </w:r>
      <w:r>
        <w:rPr>
          <w:rStyle w:val="NormalTok"/>
        </w:rPr>
        <w:t xml:space="preserve">,</w:t>
      </w:r>
      <w:r>
        <w:br/>
      </w:r>
      <w:r>
        <w:rPr>
          <w:rStyle w:val="NormalTok"/>
        </w:rPr>
        <w:t xml:space="preserve">         </w:t>
      </w:r>
      <w:r>
        <w:rPr>
          <w:rStyle w:val="AttributeTok"/>
        </w:rPr>
        <w:t xml:space="preserve">type =</w:t>
      </w:r>
      <w:r>
        <w:rPr>
          <w:rStyle w:val="NormalTok"/>
        </w:rPr>
        <w:t xml:space="preserve"> </w:t>
      </w:r>
      <w:r>
        <w:rPr>
          <w:rStyle w:val="StringTok"/>
        </w:rPr>
        <w:t xml:space="preserve">"Ljung-Box"</w:t>
      </w:r>
      <w:r>
        <w:rPr>
          <w:rStyle w:val="NormalTok"/>
        </w:rPr>
        <w:t xml:space="preserve">, </w:t>
      </w:r>
      <w:r>
        <w:rPr>
          <w:rStyle w:val="AttributeTok"/>
        </w:rPr>
        <w:t xml:space="preserve">fitdf =</w:t>
      </w:r>
      <w:r>
        <w:rPr>
          <w:rStyle w:val="NormalTok"/>
        </w:rPr>
        <w:t xml:space="preserve"> </w:t>
      </w:r>
      <w:r>
        <w:rPr>
          <w:rStyle w:val="DecValTok"/>
        </w:rPr>
        <w:t xml:space="preserve">2</w:t>
      </w:r>
      <w:r>
        <w:rPr>
          <w:rStyle w:val="NormalTok"/>
        </w:rPr>
        <w:t xml:space="preserve">)</w:t>
      </w:r>
      <w:r>
        <w:br/>
      </w:r>
      <w:r>
        <w:rPr>
          <w:rStyle w:val="FunctionTok"/>
        </w:rPr>
        <w:t xml:space="preserve">metric_row</w:t>
      </w:r>
      <w:r>
        <w:rPr>
          <w:rStyle w:val="NormalTok"/>
        </w:rPr>
        <w:t xml:space="preserve">(</w:t>
      </w:r>
      <w:r>
        <w:rPr>
          <w:rStyle w:val="StringTok"/>
        </w:rPr>
        <w:t xml:space="preserve">"Holt-Winters"</w:t>
      </w:r>
      <w:r>
        <w:rPr>
          <w:rStyle w:val="NormalTok"/>
        </w:rPr>
        <w:t xml:space="preserve">, hw_fc, test, train)</w:t>
      </w:r>
    </w:p>
    <w:bookmarkEnd w:id="42"/>
    <w:sectPr w:rsidR="00D7522C" w:rsidRPr="00CA4392" w:rsidSect="00E41015">
      <w:headerReference r:id="rId8" w:type="even"/>
      <w:headerReference r:id="rId9" w:type="default"/>
      <w:footerReference r:id="rId10" w:type="even"/>
      <w:footerReference r:id="rId11" w:type="default"/>
      <w:headerReference r:id="rId12" w:type="first"/>
      <w:footerReference r:id="rId13" w:type="first"/>
      <w:type w:val="continuous"/>
      <w:pgSz w:code="1" w:h="15840" w:w="12240"/>
      <w:pgMar w:bottom="1440" w:footer="720" w:gutter="0" w:header="720" w:left="893" w:right="893" w:top="1080"/>
      <w:cols w:num="2" w:space="36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C890E" w14:textId="77777777" w:rsidR="00E41015" w:rsidRDefault="00E410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6CC85" w14:textId="77777777" w:rsidR="00E41015" w:rsidRDefault="00E410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21F62"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EAAFE" w14:textId="77777777" w:rsidR="00E41015" w:rsidRDefault="00E410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9F4F3" w14:textId="77777777" w:rsidR="00E41015" w:rsidRDefault="00E410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3D8C" w14:textId="77777777" w:rsidR="00E41015" w:rsidRDefault="00E41015">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1D"/>
    <w:multiLevelType w:val="multilevel"/>
    <w:tmpl w:val="7A36CE9E"/>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cs="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cs="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DD629BE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2648E1C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9D38DB54"/>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632C24E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82268A1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8C0E77F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174639B8"/>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B1ACC408"/>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229E8DF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EA847AF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1E177E97"/>
    <w:multiLevelType w:val="hybridMultilevel"/>
    <w:tmpl w:val="A6463BCE"/>
    <w:lvl w:ilvl="0" w:tplc="04140013">
      <w:start w:val="1"/>
      <w:numFmt w:val="upperRoman"/>
      <w:lvlText w:val="%1."/>
      <w:lvlJc w:val="right"/>
      <w:pPr>
        <w:ind w:hanging="360" w:left="936"/>
      </w:pPr>
    </w:lvl>
    <w:lvl w:ilvl="1" w:tentative="1" w:tplc="04140019">
      <w:start w:val="1"/>
      <w:numFmt w:val="lowerLetter"/>
      <w:lvlText w:val="%2."/>
      <w:lvlJc w:val="left"/>
      <w:pPr>
        <w:ind w:hanging="360" w:left="1656"/>
      </w:pPr>
    </w:lvl>
    <w:lvl w:ilvl="2" w:tentative="1" w:tplc="0414001B">
      <w:start w:val="1"/>
      <w:numFmt w:val="lowerRoman"/>
      <w:lvlText w:val="%3."/>
      <w:lvlJc w:val="right"/>
      <w:pPr>
        <w:ind w:hanging="180" w:left="2376"/>
      </w:pPr>
    </w:lvl>
    <w:lvl w:ilvl="3" w:tentative="1" w:tplc="0414000F">
      <w:start w:val="1"/>
      <w:numFmt w:val="decimal"/>
      <w:lvlText w:val="%4."/>
      <w:lvlJc w:val="left"/>
      <w:pPr>
        <w:ind w:hanging="360" w:left="3096"/>
      </w:pPr>
    </w:lvl>
    <w:lvl w:ilvl="4" w:tentative="1" w:tplc="04140019">
      <w:start w:val="1"/>
      <w:numFmt w:val="lowerLetter"/>
      <w:lvlText w:val="%5."/>
      <w:lvlJc w:val="left"/>
      <w:pPr>
        <w:ind w:hanging="360" w:left="3816"/>
      </w:pPr>
    </w:lvl>
    <w:lvl w:ilvl="5" w:tentative="1" w:tplc="0414001B">
      <w:start w:val="1"/>
      <w:numFmt w:val="lowerRoman"/>
      <w:lvlText w:val="%6."/>
      <w:lvlJc w:val="right"/>
      <w:pPr>
        <w:ind w:hanging="180" w:left="4536"/>
      </w:pPr>
    </w:lvl>
    <w:lvl w:ilvl="6" w:tentative="1" w:tplc="0414000F">
      <w:start w:val="1"/>
      <w:numFmt w:val="decimal"/>
      <w:lvlText w:val="%7."/>
      <w:lvlJc w:val="left"/>
      <w:pPr>
        <w:ind w:hanging="360" w:left="5256"/>
      </w:pPr>
    </w:lvl>
    <w:lvl w:ilvl="7" w:tentative="1" w:tplc="04140019">
      <w:start w:val="1"/>
      <w:numFmt w:val="lowerLetter"/>
      <w:lvlText w:val="%8."/>
      <w:lvlJc w:val="left"/>
      <w:pPr>
        <w:ind w:hanging="360" w:left="5976"/>
      </w:pPr>
    </w:lvl>
    <w:lvl w:ilvl="8" w:tentative="1" w:tplc="0414001B">
      <w:start w:val="1"/>
      <w:numFmt w:val="lowerRoman"/>
      <w:lvlText w:val="%9."/>
      <w:lvlJc w:val="right"/>
      <w:pPr>
        <w:ind w:hanging="180" w:left="6696"/>
      </w:pPr>
    </w:lvl>
  </w:abstractNum>
  <w:abstractNum w15:restartNumberingAfterBreak="0" w:abstractNumId="12">
    <w:nsid w:val="20AF0333"/>
    <w:multiLevelType w:val="hybridMultilevel"/>
    <w:tmpl w:val="CB0E7F4E"/>
    <w:lvl w:ilvl="0" w:tplc="E09099E0">
      <w:start w:val="1"/>
      <w:numFmt w:val="lowerLetter"/>
      <w:lvlText w:val="%1."/>
      <w:lvlJc w:val="left"/>
      <w:pPr>
        <w:tabs>
          <w:tab w:pos="720" w:val="num"/>
        </w:tabs>
        <w:ind w:hanging="360" w:left="720"/>
      </w:pPr>
      <w:rPr>
        <w:rFonts w:cs="Times New Roman" w:hint="default"/>
        <w:i w:val="0"/>
        <w:iCs w:val="0"/>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3">
    <w:nsid w:val="26FE1FCF"/>
    <w:multiLevelType w:val="hybridMultilevel"/>
    <w:tmpl w:val="33826962"/>
    <w:lvl w:ilvl="0" w:tplc="A2947960">
      <w:start w:val="1"/>
      <w:numFmt w:val="decimal"/>
      <w:pStyle w:val="footnote"/>
      <w:lvlText w:val="%1 "/>
      <w:lvlJc w:val="left"/>
      <w:pPr>
        <w:tabs>
          <w:tab w:pos="648" w:val="num"/>
        </w:tabs>
        <w:ind w:firstLine="288"/>
      </w:pPr>
      <w:rPr>
        <w:rFonts w:ascii="Times New Roman" w:cs="Times New Roman" w:hAnsi="Times New Roman" w:hint="default"/>
        <w:b w:val="0"/>
        <w:bCs w:val="0"/>
        <w:i w:val="0"/>
        <w:iCs w:val="0"/>
        <w:caps w:val="0"/>
        <w:strike w:val="0"/>
        <w:dstrike w:val="0"/>
        <w:vanish w:val="0"/>
        <w:color w:val="000000"/>
        <w:sz w:val="16"/>
        <w:szCs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14">
    <w:nsid w:val="37660336"/>
    <w:multiLevelType w:val="hybridMultilevel"/>
    <w:tmpl w:val="754EAC84"/>
    <w:lvl w:ilvl="0" w:tplc="C46877EA">
      <w:start w:val="1"/>
      <w:numFmt w:val="bullet"/>
      <w:pStyle w:val="bulletlist"/>
      <w:lvlText w:val=""/>
      <w:lvlJc w:val="left"/>
      <w:pPr>
        <w:tabs>
          <w:tab w:pos="648" w:val="num"/>
        </w:tabs>
        <w:ind w:hanging="360" w:left="648"/>
      </w:pPr>
      <w:rPr>
        <w:rFonts w:ascii="Symbol" w:hAnsi="Symbol" w:hint="default"/>
      </w:rPr>
    </w:lvl>
    <w:lvl w:ilvl="1" w:tplc="04090003">
      <w:start w:val="1"/>
      <w:numFmt w:val="bullet"/>
      <w:lvlText w:val="o"/>
      <w:lvlJc w:val="left"/>
      <w:pPr>
        <w:tabs>
          <w:tab w:pos="1440" w:val="num"/>
        </w:tabs>
        <w:ind w:hanging="360" w:left="1440"/>
      </w:pPr>
      <w:rPr>
        <w:rFonts w:ascii="Courier New" w:hAnsi="Courier New" w:hint="default"/>
      </w:rPr>
    </w:lvl>
    <w:lvl w:ilvl="2" w:tplc="04090005">
      <w:start w:val="1"/>
      <w:numFmt w:val="bullet"/>
      <w:lvlText w:val=""/>
      <w:lvlJc w:val="left"/>
      <w:pPr>
        <w:tabs>
          <w:tab w:pos="2160" w:val="num"/>
        </w:tabs>
        <w:ind w:hanging="360" w:left="2160"/>
      </w:pPr>
      <w:rPr>
        <w:rFonts w:ascii="Wingdings" w:hAnsi="Wingdings" w:hint="default"/>
      </w:rPr>
    </w:lvl>
    <w:lvl w:ilvl="3" w:tplc="04090001">
      <w:start w:val="1"/>
      <w:numFmt w:val="bullet"/>
      <w:lvlText w:val=""/>
      <w:lvlJc w:val="left"/>
      <w:pPr>
        <w:tabs>
          <w:tab w:pos="2880" w:val="num"/>
        </w:tabs>
        <w:ind w:hanging="360" w:left="2880"/>
      </w:pPr>
      <w:rPr>
        <w:rFonts w:ascii="Symbol" w:hAnsi="Symbol" w:hint="default"/>
      </w:rPr>
    </w:lvl>
    <w:lvl w:ilvl="4" w:tplc="04090003">
      <w:start w:val="1"/>
      <w:numFmt w:val="bullet"/>
      <w:lvlText w:val="o"/>
      <w:lvlJc w:val="left"/>
      <w:pPr>
        <w:tabs>
          <w:tab w:pos="3600" w:val="num"/>
        </w:tabs>
        <w:ind w:hanging="360" w:left="3600"/>
      </w:pPr>
      <w:rPr>
        <w:rFonts w:ascii="Courier New" w:hAnsi="Courier New" w:hint="default"/>
      </w:rPr>
    </w:lvl>
    <w:lvl w:ilvl="5" w:tplc="04090005">
      <w:start w:val="1"/>
      <w:numFmt w:val="bullet"/>
      <w:lvlText w:val=""/>
      <w:lvlJc w:val="left"/>
      <w:pPr>
        <w:tabs>
          <w:tab w:pos="4320" w:val="num"/>
        </w:tabs>
        <w:ind w:hanging="360" w:left="4320"/>
      </w:pPr>
      <w:rPr>
        <w:rFonts w:ascii="Wingdings" w:hAnsi="Wingdings" w:hint="default"/>
      </w:rPr>
    </w:lvl>
    <w:lvl w:ilvl="6" w:tplc="04090001">
      <w:start w:val="1"/>
      <w:numFmt w:val="bullet"/>
      <w:lvlText w:val=""/>
      <w:lvlJc w:val="left"/>
      <w:pPr>
        <w:tabs>
          <w:tab w:pos="5040" w:val="num"/>
        </w:tabs>
        <w:ind w:hanging="360" w:left="5040"/>
      </w:pPr>
      <w:rPr>
        <w:rFonts w:ascii="Symbol" w:hAnsi="Symbol" w:hint="default"/>
      </w:rPr>
    </w:lvl>
    <w:lvl w:ilvl="7" w:tplc="04090003">
      <w:start w:val="1"/>
      <w:numFmt w:val="bullet"/>
      <w:lvlText w:val="o"/>
      <w:lvlJc w:val="left"/>
      <w:pPr>
        <w:tabs>
          <w:tab w:pos="5760" w:val="num"/>
        </w:tabs>
        <w:ind w:hanging="360" w:left="5760"/>
      </w:pPr>
      <w:rPr>
        <w:rFonts w:ascii="Courier New" w:hAnsi="Courier New" w:hint="default"/>
      </w:rPr>
    </w:lvl>
    <w:lvl w:ilvl="8"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5">
    <w:nsid w:val="39E54FC6"/>
    <w:multiLevelType w:val="singleLevel"/>
    <w:tmpl w:val="5B7288D4"/>
    <w:lvl w:ilvl="0">
      <w:start w:val="14"/>
      <w:numFmt w:val="decimal"/>
      <w:lvlText w:val="%1"/>
      <w:lvlJc w:val="left"/>
      <w:pPr>
        <w:tabs>
          <w:tab w:pos="720" w:val="num"/>
        </w:tabs>
        <w:ind w:hanging="360" w:left="720"/>
      </w:pPr>
      <w:rPr>
        <w:rFonts w:cs="Times New Roman" w:hint="default"/>
      </w:rPr>
    </w:lvl>
  </w:abstractNum>
  <w:abstractNum w15:restartNumberingAfterBreak="0" w:abstractNumId="16">
    <w:nsid w:val="4189603E"/>
    <w:multiLevelType w:val="multilevel"/>
    <w:tmpl w:val="0AB06E12"/>
    <w:lvl w:ilvl="0">
      <w:start w:val="1"/>
      <w:numFmt w:val="upperRoman"/>
      <w:pStyle w:val="Heading1"/>
      <w:lvlText w:val="%1."/>
      <w:lvlJc w:val="center"/>
      <w:pPr>
        <w:tabs>
          <w:tab w:pos="576" w:val="num"/>
        </w:tabs>
        <w:ind w:firstLine="216"/>
      </w:pPr>
      <w:rPr>
        <w:rFonts w:ascii="Times New Roman" w:cs="Times New Roman" w:hAnsi="Times New Roman" w:hint="default"/>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pStyle w:val="Heading2"/>
      <w:lvlText w:val="%2."/>
      <w:lvlJc w:val="left"/>
      <w:pPr>
        <w:tabs>
          <w:tab w:pos="360" w:val="num"/>
        </w:tabs>
        <w:ind w:hanging="288" w:left="288"/>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Heading3"/>
      <w:lvlText w:val="%3)"/>
      <w:lvlJc w:val="left"/>
      <w:pPr>
        <w:tabs>
          <w:tab w:pos="540" w:val="num"/>
        </w:tabs>
        <w:ind w:firstLine="180"/>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Heading4"/>
      <w:lvlText w:val="%4)"/>
      <w:lvlJc w:val="left"/>
      <w:pPr>
        <w:tabs>
          <w:tab w:pos="630" w:val="num"/>
        </w:tabs>
        <w:ind w:firstLine="360"/>
      </w:pPr>
      <w:rPr>
        <w:rFonts w:ascii="Times New Roman" w:cs="Times New Roman" w:hAnsi="Times New Roman" w:hint="default"/>
        <w:b w:val="0"/>
        <w:bCs w:val="0"/>
        <w:i/>
        <w:iCs/>
        <w:sz w:val="20"/>
        <w:szCs w:val="20"/>
      </w:rPr>
    </w:lvl>
    <w:lvl w:ilvl="4">
      <w:start w:val="1"/>
      <w:numFmt w:val="none"/>
      <w:lvlRestart w:val="0"/>
      <w:lvlText w:val=""/>
      <w:lvlJc w:val="left"/>
      <w:pPr>
        <w:tabs>
          <w:tab w:pos="3240" w:val="num"/>
        </w:tabs>
        <w:ind w:left="2880"/>
      </w:pPr>
      <w:rPr>
        <w:rFonts w:cs="Times New Roman" w:hint="default"/>
      </w:rPr>
    </w:lvl>
    <w:lvl w:ilvl="5">
      <w:start w:val="1"/>
      <w:numFmt w:val="lowerLetter"/>
      <w:lvlText w:val="(%6)"/>
      <w:lvlJc w:val="left"/>
      <w:pPr>
        <w:tabs>
          <w:tab w:pos="3960" w:val="num"/>
        </w:tabs>
        <w:ind w:left="3600"/>
      </w:pPr>
      <w:rPr>
        <w:rFonts w:cs="Times New Roman" w:hint="default"/>
      </w:rPr>
    </w:lvl>
    <w:lvl w:ilvl="6">
      <w:start w:val="1"/>
      <w:numFmt w:val="lowerRoman"/>
      <w:lvlText w:val="(%7)"/>
      <w:lvlJc w:val="left"/>
      <w:pPr>
        <w:tabs>
          <w:tab w:pos="4680" w:val="num"/>
        </w:tabs>
        <w:ind w:left="4320"/>
      </w:pPr>
      <w:rPr>
        <w:rFonts w:cs="Times New Roman" w:hint="default"/>
      </w:rPr>
    </w:lvl>
    <w:lvl w:ilvl="7">
      <w:start w:val="1"/>
      <w:numFmt w:val="lowerLetter"/>
      <w:lvlText w:val="(%8)"/>
      <w:lvlJc w:val="left"/>
      <w:pPr>
        <w:tabs>
          <w:tab w:pos="5400" w:val="num"/>
        </w:tabs>
        <w:ind w:left="5040"/>
      </w:pPr>
      <w:rPr>
        <w:rFonts w:cs="Times New Roman" w:hint="default"/>
      </w:rPr>
    </w:lvl>
    <w:lvl w:ilvl="8">
      <w:start w:val="1"/>
      <w:numFmt w:val="lowerRoman"/>
      <w:lvlText w:val="(%9)"/>
      <w:lvlJc w:val="left"/>
      <w:pPr>
        <w:tabs>
          <w:tab w:pos="6120" w:val="num"/>
        </w:tabs>
        <w:ind w:left="5760"/>
      </w:pPr>
      <w:rPr>
        <w:rFonts w:cs="Times New Roman" w:hint="default"/>
      </w:rPr>
    </w:lvl>
  </w:abstractNum>
  <w:abstractNum w15:restartNumberingAfterBreak="0" w:abstractNumId="17">
    <w:nsid w:val="493C3F76"/>
    <w:multiLevelType w:val="hybridMultilevel"/>
    <w:tmpl w:val="9A9E418C"/>
    <w:lvl w:ilvl="0" w:tplc="2C18EFA4">
      <w:start w:val="1"/>
      <w:numFmt w:val="lowerLetter"/>
      <w:pStyle w:val="tablefootnote"/>
      <w:lvlText w:val="%1."/>
      <w:lvlJc w:val="right"/>
      <w:pPr>
        <w:ind w:hanging="360" w:left="418"/>
      </w:pPr>
      <w:rPr>
        <w:rFonts w:ascii="Times New Roman" w:hAnsi="Times New Roman" w:hint="default"/>
        <w:b w:val="0"/>
        <w:i w:val="0"/>
        <w:caps w:val="0"/>
        <w:strike w:val="0"/>
        <w:dstrike w:val="0"/>
        <w:vanish w:val="0"/>
        <w:color w:val="auto"/>
        <w:spacing w:val="0"/>
        <w:w w:val="100"/>
        <w:kern w:val="0"/>
        <w:position w:val="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2CA544A"/>
    <w:multiLevelType w:val="singleLevel"/>
    <w:tmpl w:val="AED6D67E"/>
    <w:lvl w:ilvl="0">
      <w:start w:val="1"/>
      <w:numFmt w:val="decimal"/>
      <w:pStyle w:val="references"/>
      <w:lvlText w:val="[%1]"/>
      <w:lvlJc w:val="left"/>
      <w:pPr>
        <w:tabs>
          <w:tab w:pos="360" w:val="num"/>
        </w:tabs>
        <w:ind w:hanging="360" w:left="360"/>
      </w:pPr>
      <w:rPr>
        <w:rFonts w:ascii="Times New Roman" w:cs="Times New Roman" w:hAnsi="Times New Roman" w:hint="default"/>
        <w:b w:val="0"/>
        <w:bCs w:val="0"/>
        <w:i w:val="0"/>
        <w:iCs w:val="0"/>
        <w:sz w:val="16"/>
        <w:szCs w:val="16"/>
      </w:rPr>
    </w:lvl>
  </w:abstractNum>
  <w:abstractNum w15:restartNumberingAfterBreak="0" w:abstractNumId="19">
    <w:nsid w:val="6C402C58"/>
    <w:multiLevelType w:val="hybridMultilevel"/>
    <w:tmpl w:val="9A1CA078"/>
    <w:lvl w:ilvl="0" w:tplc="C8D6570A">
      <w:start w:val="1"/>
      <w:numFmt w:val="decimal"/>
      <w:pStyle w:val="figurecaption"/>
      <w:lvlText w:val="Fig. %1."/>
      <w:lvlJc w:val="left"/>
      <w:pPr>
        <w:ind w:hanging="360" w:left="360"/>
      </w:pPr>
      <w:rPr>
        <w:rFonts w:ascii="Times New Roman" w:cs="Times New Roman" w:hAnsi="Times New Roman" w:hint="default"/>
        <w:b w:val="0"/>
        <w:bCs w:val="0"/>
        <w:i w:val="0"/>
        <w:iCs w:val="0"/>
        <w:color w:val="auto"/>
        <w:sz w:val="16"/>
        <w:szCs w:val="16"/>
      </w:rPr>
    </w:lvl>
    <w:lvl w:ilvl="1" w:tplc="04090019">
      <w:start w:val="1"/>
      <w:numFmt w:val="lowerLetter"/>
      <w:lvlText w:val="%2."/>
      <w:lvlJc w:val="left"/>
      <w:pPr>
        <w:tabs>
          <w:tab w:pos="1440" w:val="num"/>
        </w:tabs>
        <w:ind w:hanging="360" w:left="1440"/>
      </w:pPr>
      <w:rPr>
        <w:rFonts w:cs="Times New Roman"/>
      </w:rPr>
    </w:lvl>
    <w:lvl w:ilvl="2" w:tplc="0409001B">
      <w:start w:val="1"/>
      <w:numFmt w:val="lowerRoman"/>
      <w:lvlText w:val="%3."/>
      <w:lvlJc w:val="right"/>
      <w:pPr>
        <w:tabs>
          <w:tab w:pos="2160" w:val="num"/>
        </w:tabs>
        <w:ind w:hanging="180" w:left="2160"/>
      </w:pPr>
      <w:rPr>
        <w:rFonts w:cs="Times New Roman"/>
      </w:rPr>
    </w:lvl>
    <w:lvl w:ilvl="3" w:tplc="0409000F">
      <w:start w:val="1"/>
      <w:numFmt w:val="decimal"/>
      <w:lvlText w:val="%4."/>
      <w:lvlJc w:val="left"/>
      <w:pPr>
        <w:tabs>
          <w:tab w:pos="2880" w:val="num"/>
        </w:tabs>
        <w:ind w:hanging="360" w:left="2880"/>
      </w:pPr>
      <w:rPr>
        <w:rFonts w:cs="Times New Roman"/>
      </w:rPr>
    </w:lvl>
    <w:lvl w:ilvl="4" w:tplc="04090019">
      <w:start w:val="1"/>
      <w:numFmt w:val="lowerLetter"/>
      <w:lvlText w:val="%5."/>
      <w:lvlJc w:val="left"/>
      <w:pPr>
        <w:tabs>
          <w:tab w:pos="3600" w:val="num"/>
        </w:tabs>
        <w:ind w:hanging="360" w:left="3600"/>
      </w:pPr>
      <w:rPr>
        <w:rFonts w:cs="Times New Roman"/>
      </w:rPr>
    </w:lvl>
    <w:lvl w:ilvl="5" w:tplc="0409001B">
      <w:start w:val="1"/>
      <w:numFmt w:val="lowerRoman"/>
      <w:lvlText w:val="%6."/>
      <w:lvlJc w:val="right"/>
      <w:pPr>
        <w:tabs>
          <w:tab w:pos="4320" w:val="num"/>
        </w:tabs>
        <w:ind w:hanging="180" w:left="4320"/>
      </w:pPr>
      <w:rPr>
        <w:rFonts w:cs="Times New Roman"/>
      </w:rPr>
    </w:lvl>
    <w:lvl w:ilvl="6" w:tplc="0409000F">
      <w:start w:val="1"/>
      <w:numFmt w:val="decimal"/>
      <w:lvlText w:val="%7."/>
      <w:lvlJc w:val="left"/>
      <w:pPr>
        <w:tabs>
          <w:tab w:pos="5040" w:val="num"/>
        </w:tabs>
        <w:ind w:hanging="360" w:left="5040"/>
      </w:pPr>
      <w:rPr>
        <w:rFonts w:cs="Times New Roman"/>
      </w:rPr>
    </w:lvl>
    <w:lvl w:ilvl="7" w:tplc="04090019">
      <w:start w:val="1"/>
      <w:numFmt w:val="lowerLetter"/>
      <w:lvlText w:val="%8."/>
      <w:lvlJc w:val="left"/>
      <w:pPr>
        <w:tabs>
          <w:tab w:pos="5760" w:val="num"/>
        </w:tabs>
        <w:ind w:hanging="360" w:left="5760"/>
      </w:pPr>
      <w:rPr>
        <w:rFonts w:cs="Times New Roman"/>
      </w:rPr>
    </w:lvl>
    <w:lvl w:ilvl="8" w:tplc="0409001B">
      <w:start w:val="1"/>
      <w:numFmt w:val="lowerRoman"/>
      <w:lvlText w:val="%9."/>
      <w:lvlJc w:val="right"/>
      <w:pPr>
        <w:tabs>
          <w:tab w:pos="6480" w:val="num"/>
        </w:tabs>
        <w:ind w:hanging="180" w:left="6480"/>
      </w:pPr>
      <w:rPr>
        <w:rFonts w:cs="Times New Roman"/>
      </w:rPr>
    </w:lvl>
  </w:abstractNum>
  <w:abstractNum w15:restartNumberingAfterBreak="0" w:abstractNumId="20">
    <w:nsid w:val="6CD32DA8"/>
    <w:multiLevelType w:val="singleLevel"/>
    <w:tmpl w:val="166470C2"/>
    <w:lvl w:ilvl="0">
      <w:start w:val="1"/>
      <w:numFmt w:val="upperRoman"/>
      <w:pStyle w:val="tablehead"/>
      <w:lvlText w:val="TABLE %1. "/>
      <w:lvlJc w:val="left"/>
      <w:pPr>
        <w:tabs>
          <w:tab w:pos="1080" w:val="num"/>
        </w:tabs>
      </w:pPr>
      <w:rPr>
        <w:rFonts w:ascii="Times New Roman" w:cs="Times New Roman" w:hAnsi="Times New Roman" w:hint="default"/>
        <w:b w:val="0"/>
        <w:bCs w:val="0"/>
        <w:i w:val="0"/>
        <w:iCs w:val="0"/>
        <w:sz w:val="16"/>
        <w:szCs w:val="16"/>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40377641" w:numId="1">
    <w:abstractNumId w:val="14"/>
  </w:num>
  <w:num w16cid:durableId="1397439891" w:numId="2">
    <w:abstractNumId w:val="19"/>
  </w:num>
  <w:num w16cid:durableId="539585121" w:numId="3">
    <w:abstractNumId w:val="13"/>
  </w:num>
  <w:num w16cid:durableId="1505513160" w:numId="4">
    <w:abstractNumId w:val="16"/>
  </w:num>
  <w:num w16cid:durableId="978925957" w:numId="5">
    <w:abstractNumId w:val="16"/>
  </w:num>
  <w:num w16cid:durableId="1721400726" w:numId="6">
    <w:abstractNumId w:val="16"/>
  </w:num>
  <w:num w16cid:durableId="687826470" w:numId="7">
    <w:abstractNumId w:val="16"/>
  </w:num>
  <w:num w16cid:durableId="143812469" w:numId="8">
    <w:abstractNumId w:val="18"/>
  </w:num>
  <w:num w16cid:durableId="1364867722" w:numId="9">
    <w:abstractNumId w:val="20"/>
  </w:num>
  <w:num w16cid:durableId="2029989048" w:numId="10">
    <w:abstractNumId w:val="15"/>
  </w:num>
  <w:num w16cid:durableId="642739898" w:numId="11">
    <w:abstractNumId w:val="12"/>
  </w:num>
  <w:num w16cid:durableId="1272741182" w:numId="12">
    <w:abstractNumId w:val="11"/>
  </w:num>
  <w:num w16cid:durableId="851069540" w:numId="13">
    <w:abstractNumId w:val="0"/>
  </w:num>
  <w:num w16cid:durableId="529344390" w:numId="14">
    <w:abstractNumId w:val="10"/>
  </w:num>
  <w:num w16cid:durableId="894972538" w:numId="15">
    <w:abstractNumId w:val="8"/>
  </w:num>
  <w:num w16cid:durableId="1023093075" w:numId="16">
    <w:abstractNumId w:val="7"/>
  </w:num>
  <w:num w16cid:durableId="1951620780" w:numId="17">
    <w:abstractNumId w:val="6"/>
  </w:num>
  <w:num w16cid:durableId="1765606468" w:numId="18">
    <w:abstractNumId w:val="5"/>
  </w:num>
  <w:num w16cid:durableId="409623909" w:numId="19">
    <w:abstractNumId w:val="9"/>
  </w:num>
  <w:num w16cid:durableId="1936084648" w:numId="20">
    <w:abstractNumId w:val="4"/>
  </w:num>
  <w:num w16cid:durableId="146483437" w:numId="21">
    <w:abstractNumId w:val="3"/>
  </w:num>
  <w:num w16cid:durableId="1467505995" w:numId="22">
    <w:abstractNumId w:val="2"/>
  </w:num>
  <w:num w16cid:durableId="1408696933" w:numId="23">
    <w:abstractNumId w:val="1"/>
  </w:num>
  <w:num w16cid:durableId="1366640472" w:numId="24">
    <w:abstractNumId w:val="17"/>
  </w:num>
  <w:num w16cid:durableId="1917282883" w:numId="25">
    <w:abstractNumId w:val="1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oNotHyphenateCaps/>
  <w:drawingGridHorizontalSpacing w:val="360"/>
  <w:drawingGridVerticalSpacing w:val="360"/>
  <w:displayHorizontalDrawingGridEvery w:val="0"/>
  <w:displayVerticalDrawingGridEvery w:val="0"/>
  <w:characterSpacingControl w:val="doNotCompress"/>
  <w:savePreviewPicture/>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74903"/>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D54F6"/>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1CCC"/>
    <w:rsid w:val="00D632BE"/>
    <w:rsid w:val="00D72D06"/>
    <w:rsid w:val="00D7522C"/>
    <w:rsid w:val="00D7536F"/>
    <w:rsid w:val="00D76668"/>
    <w:rsid w:val="00D81CDC"/>
    <w:rsid w:val="00E41015"/>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SimSun" w:hAnsi="Times New Roman"/>
        <w:lang w:bidi="ar-SA" w:eastAsia="en-US" w:val="en-GB"/>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spacing w:after="120"/>
      <w:ind w:firstLine="288"/>
      <w:jc w:val="both"/>
    </w:pPr>
  </w:style>
  <w:style w:styleId="Heading1" w:type="paragraph">
    <w:name w:val="heading 1"/>
    <w:basedOn w:val="Normal"/>
    <w:next w:val="Normal"/>
    <w:qFormat/>
    <w:rsid w:val="006B6B66"/>
    <w:pPr>
      <w:keepNext/>
      <w:keepLines/>
      <w:numPr>
        <w:numId w:val="4"/>
      </w:numPr>
      <w:tabs>
        <w:tab w:pos="216" w:val="left"/>
      </w:tabs>
      <w:spacing w:after="80" w:before="160"/>
      <w:ind w:firstLine="0"/>
      <w:outlineLvl w:val="0"/>
    </w:pPr>
    <w:rPr>
      <w:smallCaps/>
      <w:noProof/>
    </w:rPr>
  </w:style>
  <w:style w:styleId="Heading2" w:type="paragraph">
    <w:name w:val="heading 2"/>
    <w:basedOn w:val="Normal"/>
    <w:next w:val="Normal"/>
    <w:qFormat/>
    <w:rsid w:val="00ED0149"/>
    <w:pPr>
      <w:keepNext/>
      <w:keepLines/>
      <w:numPr>
        <w:ilvl w:val="1"/>
        <w:numId w:val="4"/>
      </w:numPr>
      <w:tabs>
        <w:tab w:pos="360" w:val="clear"/>
        <w:tab w:pos="288" w:val="num"/>
      </w:tabs>
      <w:spacing w:after="60" w:before="120"/>
      <w:jc w:val="left"/>
      <w:outlineLvl w:val="1"/>
    </w:pPr>
    <w:rPr>
      <w:i/>
      <w:iCs/>
      <w:noProof/>
    </w:rPr>
  </w:style>
  <w:style w:styleId="Heading3" w:type="paragraph">
    <w:name w:val="heading 3"/>
    <w:basedOn w:val="Normal"/>
    <w:next w:val="Normal"/>
    <w:qFormat/>
    <w:rsid w:val="00794804"/>
    <w:pPr>
      <w:numPr>
        <w:ilvl w:val="2"/>
        <w:numId w:val="4"/>
      </w:numPr>
      <w:spacing w:line="240" w:lineRule="exact"/>
      <w:ind w:firstLine="288"/>
      <w:outlineLvl w:val="2"/>
    </w:pPr>
    <w:rPr>
      <w:i/>
      <w:iCs/>
      <w:noProof/>
    </w:rPr>
  </w:style>
  <w:style w:styleId="Heading4" w:type="paragraph">
    <w:name w:val="heading 4"/>
    <w:basedOn w:val="Normal"/>
    <w:next w:val="Normal"/>
    <w:qFormat/>
    <w:rsid w:val="00794804"/>
    <w:pPr>
      <w:numPr>
        <w:ilvl w:val="3"/>
        <w:numId w:val="4"/>
      </w:numPr>
      <w:tabs>
        <w:tab w:pos="630" w:val="clear"/>
        <w:tab w:pos="720" w:val="left"/>
      </w:tabs>
      <w:spacing w:after="40" w:before="40"/>
      <w:ind w:firstLine="504"/>
      <w:outlineLvl w:val="3"/>
    </w:pPr>
    <w:rPr>
      <w:i/>
      <w:iCs/>
      <w:noProof/>
    </w:rPr>
  </w:style>
  <w:style w:styleId="Heading5" w:type="paragraph">
    <w:name w:val="heading 5"/>
    <w:basedOn w:val="Normal"/>
    <w:next w:val="Normal"/>
    <w:qFormat/>
    <w:pPr>
      <w:tabs>
        <w:tab w:pos="360" w:val="left"/>
      </w:tabs>
      <w:spacing w:after="80" w:before="160"/>
      <w:outlineLvl w:val="4"/>
    </w:pPr>
    <w:rPr>
      <w:smallCaps/>
      <w:noProof/>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bstract" w:type="paragraph">
    <w:name w:val="Abstract"/>
    <w:rsid w:val="00972203"/>
    <w:pPr>
      <w:spacing w:after="200"/>
      <w:ind w:firstLine="272"/>
      <w:jc w:val="both"/>
    </w:pPr>
    <w:rPr>
      <w:b/>
      <w:bCs/>
      <w:sz w:val="18"/>
      <w:szCs w:val="18"/>
    </w:rPr>
  </w:style>
  <w:style w:customStyle="1" w:styleId="Affiliation" w:type="paragraph">
    <w:name w:val="Affiliation"/>
    <w:pPr>
      <w:jc w:val="center"/>
    </w:pPr>
  </w:style>
  <w:style w:customStyle="1" w:styleId="Author" w:type="paragraph">
    <w:name w:val="Author"/>
    <w:pPr>
      <w:spacing w:after="40" w:before="360"/>
      <w:jc w:val="center"/>
    </w:pPr>
    <w:rPr>
      <w:noProof/>
      <w:sz w:val="22"/>
      <w:szCs w:val="22"/>
    </w:rPr>
  </w:style>
  <w:style w:styleId="BodyText" w:type="paragraph">
    <w:name w:val="Body Text"/>
    <w:basedOn w:val="Normal"/>
    <w:link w:val="BodyTextChar"/>
    <w:rsid w:val="00E7596C"/>
    <w:pPr>
      <w:tabs>
        <w:tab w:pos="288" w:val="left"/>
      </w:tabs>
      <w:spacing w:line="228" w:lineRule="auto"/>
    </w:pPr>
    <w:rPr>
      <w:spacing w:val="-1"/>
      <w:lang w:eastAsia="x-none" w:val="x-none"/>
    </w:rPr>
  </w:style>
  <w:style w:customStyle="1" w:styleId="BodyTextChar" w:type="character">
    <w:name w:val="Body Text Char"/>
    <w:link w:val="BodyText"/>
    <w:rsid w:val="00E7596C"/>
    <w:rPr>
      <w:spacing w:val="-1"/>
      <w:lang w:eastAsia="x-none" w:val="x-none"/>
    </w:rPr>
  </w:style>
  <w:style w:customStyle="1" w:styleId="bulletlist" w:type="paragraph">
    <w:name w:val="bullet list"/>
    <w:basedOn w:val="BodyText"/>
    <w:rsid w:val="001B67DC"/>
    <w:pPr>
      <w:numPr>
        <w:numId w:val="1"/>
      </w:numPr>
      <w:tabs>
        <w:tab w:pos="648" w:val="clear"/>
      </w:tabs>
      <w:ind w:hanging="288" w:left="576"/>
    </w:pPr>
  </w:style>
  <w:style w:customStyle="1" w:styleId="equation" w:type="paragraph">
    <w:name w:val="equation"/>
    <w:basedOn w:val="Normal"/>
    <w:rsid w:val="008A2C7D"/>
    <w:pPr>
      <w:tabs>
        <w:tab w:pos="2520" w:val="center"/>
        <w:tab w:pos="5040" w:val="right"/>
      </w:tabs>
      <w:spacing w:after="240" w:before="240" w:line="216" w:lineRule="auto"/>
    </w:pPr>
    <w:rPr>
      <w:rFonts w:ascii="Symbol" w:cs="Symbol" w:hAnsi="Symbol"/>
    </w:rPr>
  </w:style>
  <w:style w:customStyle="1" w:styleId="figurecaption" w:type="paragraph">
    <w:name w:val="figure caption"/>
    <w:rsid w:val="005B0344"/>
    <w:pPr>
      <w:numPr>
        <w:numId w:val="2"/>
      </w:numPr>
      <w:tabs>
        <w:tab w:pos="533" w:val="left"/>
      </w:tabs>
      <w:spacing w:after="200" w:before="80"/>
      <w:ind w:firstLine="0" w:left="0"/>
      <w:jc w:val="both"/>
    </w:pPr>
    <w:rPr>
      <w:noProof/>
      <w:sz w:val="16"/>
      <w:szCs w:val="16"/>
    </w:rPr>
  </w:style>
  <w:style w:customStyle="1" w:styleId="footnote" w:type="paragraph">
    <w:name w:val="footnote"/>
    <w:pPr>
      <w:framePr w:hAnchor="page" w:hSpace="187" w:vAnchor="text" w:vSpace="187" w:wrap="notBeside" w:x="6121" w:y="577"/>
      <w:numPr>
        <w:numId w:val="3"/>
      </w:numPr>
      <w:spacing w:after="40"/>
    </w:pPr>
    <w:rPr>
      <w:sz w:val="16"/>
      <w:szCs w:val="16"/>
    </w:rPr>
  </w:style>
  <w:style w:customStyle="1" w:styleId="papersubtitle" w:type="paragraph">
    <w:name w:val="paper subtitle"/>
    <w:pPr>
      <w:spacing w:after="120"/>
      <w:jc w:val="center"/>
    </w:pPr>
    <w:rPr>
      <w:rFonts w:eastAsia="MS Mincho"/>
      <w:noProof/>
      <w:sz w:val="28"/>
      <w:szCs w:val="28"/>
    </w:rPr>
  </w:style>
  <w:style w:customStyle="1" w:styleId="papertitle" w:type="paragraph">
    <w:name w:val="paper title"/>
    <w:link w:val="papertitleChar"/>
    <w:pPr>
      <w:spacing w:after="120"/>
      <w:jc w:val="center"/>
    </w:pPr>
    <w:rPr>
      <w:rFonts w:eastAsia="MS Mincho"/>
      <w:noProof/>
      <w:sz w:val="48"/>
      <w:szCs w:val="48"/>
    </w:rPr>
  </w:style>
  <w:style w:customStyle="1" w:styleId="references" w:type="paragraph">
    <w:name w:val="references"/>
    <w:pPr>
      <w:numPr>
        <w:numId w:val="8"/>
      </w:numPr>
      <w:spacing w:after="50" w:line="180" w:lineRule="exact"/>
      <w:jc w:val="both"/>
    </w:pPr>
    <w:rPr>
      <w:rFonts w:eastAsia="MS Mincho"/>
      <w:noProof/>
      <w:sz w:val="16"/>
      <w:szCs w:val="16"/>
    </w:rPr>
  </w:style>
  <w:style w:customStyle="1" w:styleId="sponsors" w:type="paragraph">
    <w:name w:val="sponsors"/>
    <w:pPr>
      <w:framePr w:hAnchor="text" w:wrap="auto" w:x="615" w:y="2239"/>
      <w:pBdr>
        <w:top w:color="auto" w:space="2" w:sz="4" w:val="single"/>
      </w:pBdr>
      <w:ind w:firstLine="288"/>
    </w:pPr>
    <w:rPr>
      <w:sz w:val="16"/>
      <w:szCs w:val="16"/>
    </w:rPr>
  </w:style>
  <w:style w:customStyle="1" w:styleId="tablecolhead" w:type="paragraph">
    <w:name w:val="table col head"/>
    <w:basedOn w:val="Normal"/>
    <w:rPr>
      <w:b/>
      <w:bCs/>
      <w:sz w:val="16"/>
      <w:szCs w:val="16"/>
    </w:rPr>
  </w:style>
  <w:style w:customStyle="1" w:styleId="tablecolsubhead" w:type="paragraph">
    <w:name w:val="table col subhead"/>
    <w:basedOn w:val="tablecolhead"/>
    <w:rPr>
      <w:i/>
      <w:iCs/>
      <w:sz w:val="15"/>
      <w:szCs w:val="15"/>
    </w:rPr>
  </w:style>
  <w:style w:customStyle="1" w:styleId="tablecopy" w:type="paragraph">
    <w:name w:val="table copy"/>
    <w:pPr>
      <w:jc w:val="both"/>
    </w:pPr>
    <w:rPr>
      <w:noProof/>
      <w:sz w:val="16"/>
      <w:szCs w:val="16"/>
    </w:rPr>
  </w:style>
  <w:style w:customStyle="1" w:styleId="tablefootnote" w:type="paragraph">
    <w:name w:val="table footnote"/>
    <w:rsid w:val="005E2800"/>
    <w:pPr>
      <w:numPr>
        <w:numId w:val="24"/>
      </w:numPr>
      <w:spacing w:after="30" w:before="60"/>
      <w:ind w:hanging="29" w:left="58"/>
      <w:jc w:val="right"/>
    </w:pPr>
    <w:rPr>
      <w:sz w:val="12"/>
      <w:szCs w:val="12"/>
    </w:rPr>
  </w:style>
  <w:style w:customStyle="1" w:styleId="tablehead" w:type="paragraph">
    <w:name w:val="table head"/>
    <w:pPr>
      <w:numPr>
        <w:numId w:val="9"/>
      </w:numPr>
      <w:spacing w:after="120" w:before="240" w:line="216" w:lineRule="auto"/>
      <w:jc w:val="center"/>
    </w:pPr>
    <w:rPr>
      <w:smallCaps/>
      <w:noProof/>
      <w:sz w:val="16"/>
      <w:szCs w:val="16"/>
    </w:rPr>
  </w:style>
  <w:style w:customStyle="1" w:styleId="Keywords" w:type="paragraph">
    <w:name w:val="Keywords"/>
    <w:basedOn w:val="Abstract"/>
    <w:qFormat/>
    <w:rsid w:val="00F9441B"/>
    <w:pPr>
      <w:spacing w:after="120"/>
      <w:ind w:firstLine="274"/>
    </w:pPr>
    <w:rPr>
      <w:i/>
    </w:rPr>
  </w:style>
  <w:style w:styleId="Header" w:type="paragraph">
    <w:name w:val="header"/>
    <w:basedOn w:val="Normal"/>
    <w:link w:val="HeaderChar"/>
    <w:rsid w:val="001A3B3D"/>
    <w:pPr>
      <w:tabs>
        <w:tab w:pos="4680" w:val="center"/>
        <w:tab w:pos="9360" w:val="right"/>
      </w:tabs>
    </w:pPr>
  </w:style>
  <w:style w:customStyle="1" w:styleId="HeaderChar" w:type="character">
    <w:name w:val="Header Char"/>
    <w:basedOn w:val="DefaultParagraphFont"/>
    <w:link w:val="Header"/>
    <w:rsid w:val="001A3B3D"/>
  </w:style>
  <w:style w:styleId="Footer" w:type="paragraph">
    <w:name w:val="footer"/>
    <w:basedOn w:val="Normal"/>
    <w:link w:val="FooterChar"/>
    <w:rsid w:val="001A3B3D"/>
    <w:pPr>
      <w:tabs>
        <w:tab w:pos="4680" w:val="center"/>
        <w:tab w:pos="9360" w:val="right"/>
      </w:tabs>
    </w:pPr>
  </w:style>
  <w:style w:customStyle="1" w:styleId="FooterChar" w:type="character">
    <w:name w:val="Footer Char"/>
    <w:basedOn w:val="DefaultParagraphFont"/>
    <w:link w:val="Footer"/>
    <w:rsid w:val="001A3B3D"/>
  </w:style>
  <w:style w:styleId="Hyperlink" w:type="character">
    <w:name w:val="Hyperlink"/>
    <w:basedOn w:val="DefaultParagraphFont"/>
    <w:rsid w:val="00156B74"/>
    <w:rPr>
      <w:color w:themeColor="hyperlink" w:val="0563C1"/>
      <w:u w:val="single"/>
    </w:rPr>
  </w:style>
  <w:style w:styleId="UnresolvedMention" w:type="character">
    <w:name w:val="Unresolved Mention"/>
    <w:basedOn w:val="DefaultParagraphFont"/>
    <w:uiPriority w:val="99"/>
    <w:semiHidden/>
    <w:unhideWhenUsed/>
    <w:rsid w:val="00156B74"/>
    <w:rPr>
      <w:color w:val="605E5C"/>
      <w:shd w:color="auto" w:fill="E1DFDD" w:val="clear"/>
    </w:rPr>
  </w:style>
  <w:style w:styleId="Title" w:type="paragraph">
    <w:name w:val="Title"/>
    <w:basedOn w:val="Normal"/>
    <w:next w:val="Normal"/>
    <w:link w:val="TitleChar"/>
    <w:qFormat/>
    <w:rsid w:val="00E41015"/>
    <w:pPr>
      <w:contextualSpacing/>
      <w:jc w:val="center"/>
    </w:pPr>
    <w:rPr>
      <w:rFonts w:eastAsiaTheme="majorEastAsia"/>
      <w:spacing w:val="-10"/>
      <w:kern w:val="28"/>
      <w:sz w:val="48"/>
      <w:szCs w:val="56"/>
    </w:rPr>
  </w:style>
  <w:style w:customStyle="1" w:styleId="TitleChar" w:type="character">
    <w:name w:val="Title Char"/>
    <w:basedOn w:val="DefaultParagraphFont"/>
    <w:link w:val="Title"/>
    <w:rsid w:val="00E41015"/>
    <w:rPr>
      <w:rFonts w:eastAsiaTheme="majorEastAsia"/>
      <w:spacing w:val="-10"/>
      <w:kern w:val="28"/>
      <w:sz w:val="48"/>
      <w:szCs w:val="56"/>
    </w:rPr>
  </w:style>
  <w:style w:styleId="Caption" w:type="paragraph">
    <w:name w:val="caption"/>
    <w:basedOn w:val="Normal"/>
    <w:next w:val="Normal"/>
    <w:semiHidden/>
    <w:unhideWhenUsed/>
    <w:qFormat/>
    <w:rsid w:val="00E41015"/>
    <w:pPr>
      <w:spacing w:after="200" w:before="80"/>
    </w:pPr>
    <w:rPr>
      <w:iCs/>
      <w:color w:themeColor="text2" w:val="44546A"/>
      <w:sz w:val="16"/>
      <w:szCs w:val="18"/>
    </w:rPr>
  </w:style>
  <w:style w:customStyle="1" w:styleId="SourceCode" w:type="paragraph">
    <w:name w:val="Source Code"/>
    <w:basedOn w:val="papertitle"/>
    <w:link w:val="SourceCodeChar"/>
    <w:rsid w:val="00E41015"/>
    <w:pPr>
      <w:spacing w:after="0" w:afterAutospacing="1" w:beforeAutospacing="1"/>
      <w:jc w:val="left"/>
    </w:pPr>
    <w:rPr>
      <w:rFonts w:ascii="Courier New" w:cs="Courier New" w:hAnsi="Courier New"/>
      <w:sz w:val="14"/>
    </w:rPr>
  </w:style>
  <w:style w:customStyle="1" w:styleId="papertitleChar" w:type="character">
    <w:name w:val="paper title Char"/>
    <w:basedOn w:val="DefaultParagraphFont"/>
    <w:link w:val="papertitle"/>
    <w:rsid w:val="00E41015"/>
    <w:rPr>
      <w:rFonts w:eastAsia="MS Mincho"/>
      <w:noProof/>
      <w:sz w:val="48"/>
      <w:szCs w:val="48"/>
    </w:rPr>
  </w:style>
  <w:style w:customStyle="1" w:styleId="SourceCodeChar" w:type="character">
    <w:name w:val="Source Code Char"/>
    <w:basedOn w:val="papertitleChar"/>
    <w:link w:val="SourceCode"/>
    <w:rsid w:val="00E41015"/>
    <w:rPr>
      <w:rFonts w:ascii="Courier New" w:cs="Courier New" w:eastAsia="MS Mincho" w:hAnsi="Courier New"/>
      <w:noProof/>
      <w:sz w:val="14"/>
      <w:szCs w:val="48"/>
    </w:rPr>
  </w:style>
  <w:style w:customStyle="1" w:styleId="Table" w:type="table">
    <w:name w:val="Table"/>
    <w:basedOn w:val="TableNormal"/>
    <w:rsid w:val="00E41015"/>
    <w:rPr>
      <w:sz w:val="16"/>
    </w:rPr>
    <w:tblPr/>
  </w:style>
  <w:style w:styleId="Bibliography" w:type="paragraph">
    <w:name w:val="Bibliography"/>
    <w:basedOn w:val="Normal"/>
    <w:next w:val="Normal"/>
    <w:uiPriority w:val="37"/>
    <w:semiHidden/>
    <w:unhideWhenUsed/>
    <w:rsid w:val="00E41015"/>
    <w:pPr>
      <w:spacing w:after="50"/>
      <w:ind w:firstLine="0"/>
    </w:pPr>
    <w:rPr>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39" Target="media/rId39.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23" Target="media/rId23.png" /><Relationship Type="http://schemas.openxmlformats.org/officeDocument/2006/relationships/hyperlink" Id="rId34" Target="https://otexts.com/fpp3/" TargetMode="External" /><Relationship Type="http://schemas.openxmlformats.org/officeDocument/2006/relationships/hyperlink" Id="rId36" Target="https://pkg.robjhyndman.com/forecast/reference/checkresiduals.html" TargetMode="External" /><Relationship Type="http://schemas.openxmlformats.org/officeDocument/2006/relationships/hyperlink" Id="rId32" Target="https://power.larc.nasa.gov/docs/services/api/temporal/monthly/" TargetMode="External" /></Relationships>
</file>

<file path=word/_rels/footnotes.xml.rels><?xml version="1.0" encoding="UTF-8"?><Relationships xmlns="http://schemas.openxmlformats.org/package/2006/relationships"><Relationship Type="http://schemas.openxmlformats.org/officeDocument/2006/relationships/hyperlink" Id="rId34" Target="https://otexts.com/fpp3/" TargetMode="External" /><Relationship Type="http://schemas.openxmlformats.org/officeDocument/2006/relationships/hyperlink" Id="rId36" Target="https://pkg.robjhyndman.com/forecast/reference/checkresiduals.html" TargetMode="External" /><Relationship Type="http://schemas.openxmlformats.org/officeDocument/2006/relationships/hyperlink" Id="rId32" Target="https://power.larc.nasa.gov/docs/services/api/temporal/monthl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2275</Words>
  <Characters>12971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Additive Holt–Winters Forecasting of Monthly Solar Irradiance</dc:title>
  <dc:creator/>
  <dc:language>en-GB</dc:language>
  <cp:keywords/>
  <dcterms:created xsi:type="dcterms:W3CDTF">2026-09-02T01:11:39Z</dcterms:created>
  <dcterms:modified xsi:type="dcterms:W3CDTF">2026-09-02T01:11:39Z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ieee.csl</vt:lpwstr>
  </property>
  <property fmtid="{D5CDD505-2E9C-101B-9397-08002B2CF9AE}" pid="4" name="link-citations">
    <vt:lpwstr>False</vt:lpwstr>
  </property>
  <property fmtid="{D5CDD505-2E9C-101B-9397-08002B2CF9AE}" pid="5" name="number-sections">
    <vt:lpwstr>False</vt:lpwstr>
  </property>
  <property fmtid="{D5CDD505-2E9C-101B-9397-08002B2CF9AE}" pid="6" name="table-caption-position">
    <vt:lpwstr>above</vt:lpwstr>
  </property>
</Properties>
</file>