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39.png" ContentType="image/png"/>
  <Override PartName="/word/media/rId26.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Forecasting Monthly Solar Irradiance in Kuala Lumpur Using ETS</w:t>
      </w:r>
    </w:p>
    <w:p>
      <w:pPr>
        <w:pStyle w:val="Author"/>
      </w:pPr>
      <w:r>
        <w:t xml:space="preserve">[Member 3 name]</w:t>
      </w:r>
    </w:p>
    <w:p>
      <w:pPr>
        <w:pStyle w:val="Affiliation"/>
      </w:pPr>
      <w:r>
        <w:t xml:space="preserve">[University and faculty]</w:t>
      </w:r>
      <w:r>
        <w:br/>
      </w:r>
      <w:r>
        <w:t xml:space="preserve">BMMS2094 Statistics for Data Science · Student ID: [ID] · Tutorial/Group: [Identifier]</w:t>
      </w:r>
      <w:r>
        <w:br/>
      </w:r>
      <w:r>
        <w:t xml:space="preserve">Assigned model: Error–Trend–Seasonal state-space model · Submission date: [DD Month YYYY]</w:t>
      </w:r>
    </w:p>
    <w:p>
      <w:pPr>
        <w:sectPr>
          <w:type w:val="continuous"/>
          <w:pgSz w:w="12240" w:h="15840"/>
          <w:pgMar w:top="1080" w:right="893" w:bottom="1440" w:left="893" w:header="720" w:footer="720" w:gutter="0"/>
          <w:cols w:num="1" w:space="720"/>
          <w:docGrid w:linePitch="360"/>
        </w:sectPr>
      </w:pPr>
    </w:p>
    <w:p>
      <w:pPr>
        <w:pStyle w:val="Abstract"/>
      </w:pPr>
      <w:r>
        <w:rPr>
          <w:b/>
          <w:bCs/>
        </w:rPr>
        <w:t xml:space="preserve">Abstract—</w:t>
      </w:r>
      <w:r>
        <w:t xml:space="preserve">This report evaluates an ETS state-space model for monthly NASA POWER surface solar irradiance in Kuala Lumpur. Automatic selection produced ETS(A,N,A), which achieved test RMSE 0.2947 and passed the declared residual diagnostic threshold.</w:t>
      </w:r>
    </w:p>
    <w:p>
      <w:pPr>
        <w:pStyle w:val="Keywords"/>
      </w:pPr>
      <w:r>
        <w:rPr>
          <w:b/>
          <w:bCs/>
        </w:rPr>
        <w:t xml:space="preserve">Keywords—</w:t>
      </w:r>
      <w:r>
        <w:t xml:space="preserve">ETS, exponential smoothing, forecasting, state space, solar irradiance.</w:t>
      </w:r>
    </w:p>
    <w:bookmarkStart w:id="22" w:name="methodology"/>
    <w:p>
      <w:pPr>
        <w:pStyle w:val="Heading1"/>
      </w:pPr>
      <w:r>
        <w:t xml:space="preserve">Methodology</w:t>
      </w:r>
    </w:p>
    <w:p>
      <w:pPr>
        <w:pStyle w:val="FirstParagraph"/>
      </w:pPr>
      <w:r>
        <w:t xml:space="preserve">This report proposes evaluating ETS for the monthly Kuala Lumpur NASA POWER irradiance series</w:t>
      </w:r>
      <w:r>
        <w:t xml:space="preserve"> </w:t>
      </w:r>
      <w:r>
        <w:t xml:space="preserve">[1]</w:t>
      </w:r>
      <w:r>
        <w:t xml:space="preserve">. ETS identifies the observation error, trend, and seasonal state forms in that order and provides coherent point forecasts and intervals. It generalises classical exponential smoothing by selecting among state-space structures with a likelihood-based criterion</w:t>
      </w:r>
      <w:r>
        <w:t xml:space="preserve"> </w:t>
      </w:r>
      <w:r>
        <w:t xml:space="preserve">[2]</w:t>
      </w:r>
      <w:r>
        <w:t xml:space="preserve">.</w:t>
      </w:r>
    </w:p>
    <w:p>
      <w:pPr>
        <w:pStyle w:val="BodyText"/>
      </w:pPr>
      <w:r>
        <w:t xml:space="preserve">The chronological design would use January 2001–December 2020 for training and January 2021–December 2025 for a single final test. Complete annual cycles were retained to protect seasonal estimation, while random splitting and half-year boundaries were rejected. Transformation would be assessed using training data only, with a common response scale preferred when diagnostics did not require otherwise.</w:t>
      </w:r>
    </w:p>
    <w:p>
      <w:pPr>
        <w:pStyle w:val="BodyText"/>
      </w:pPr>
      <w:r>
        <w:t xml:space="preserve">The unrestricted automatic call</w:t>
      </w:r>
      <w:r>
        <w:t xml:space="preserve"> </w:t>
      </w:r>
      <w:r>
        <w:rPr>
          <w:rStyle w:val="VerbatimChar"/>
        </w:rPr>
        <w:t xml:space="preserve">ets(train)</w:t>
      </w:r>
      <w:r>
        <w:t xml:space="preserve"> </w:t>
      </w:r>
      <w:r>
        <w:t xml:space="preserve">would deliberately search the standard ETS error, trend, damping, and seasonal structures rather than impose an unsupported component restriction. Retaining this broad search is justified by uncertainty about the appropriate state-space form, not merely because it is the software default. The training time plot, STL components, and variance evidence would establish plausible forms, while minimum AICc would select among fitted ETS candidates. The selected structure would then have to pass residual and physical-plausibility checks. Component forms are selected settings; α, β, γ, and φ, when applicable, are jointly estimated by likelihood rather than manually chosen.</w:t>
      </w:r>
    </w:p>
    <w:p>
      <w:pPr>
        <w:pStyle w:val="BodyText"/>
      </w:pPr>
      <w:r>
        <w:t xml:space="preserve">Diagnostics would use response residuals (</w:t>
      </w:r>
      <w:r>
        <w:rPr>
          <w:rStyle w:val="VerbatimChar"/>
        </w:rPr>
        <w:t xml:space="preserve">observed − fitted</w:t>
      </w:r>
      <w:r>
        <w:t xml:space="preserve">) so that departures remained interpretable on the original response scale rather than as multiplicative innovations</w:t>
      </w:r>
      <w:r>
        <w:t xml:space="preserve"> </w:t>
      </w:r>
      <w:r>
        <w:t xml:space="preserve">[3]</w:t>
      </w:r>
      <w:r>
        <w:t xml:space="preserve">. Residual time plots, ACF, and a lag-24 Ljung–Box test with the applicable fitted degrees of freedom would determine whether a specification loop-back was needed.</w:t>
      </w:r>
    </w:p>
    <w:bookmarkEnd w:id="22"/>
    <w:bookmarkStart w:id="29" w:name="data-analysis"/>
    <w:p>
      <w:pPr>
        <w:pStyle w:val="Heading1"/>
      </w:pPr>
      <w:r>
        <w:t xml:space="preserve">Data Analysis</w:t>
      </w:r>
    </w:p>
    <w:p>
      <w:pPr>
        <w:pStyle w:val="FirstParagraph"/>
      </w:pPr>
      <w:r>
        <w:rPr>
          <w:b/>
          <w:bCs/>
        </w:rPr>
        <w:t xml:space="preserve">Training evidence and model identification—</w:t>
      </w:r>
      <w:r>
        <w:t xml:space="preserve">The 2001–2020 time plot and STL decomposition indicated pronounced annual seasonality of roughly stable absolute amplitude and comparatively modest trend movement. Stable absolute amplitude supported additive seasonal candidates and retention of the response scale; modest movement made no-trend candidates plausible. These plots did not select the final form by themselves. An unrestricted error–trend–season search was retained so additive and multiplicative errors, absent or present trend, damping, and seasonal forms could compete; minimum training AICc, followed by residual and plausibility gates, was the declared criterion.</w:t>
      </w:r>
    </w:p>
    <w:p>
      <w:pPr>
        <w:pStyle w:val="CaptionedFigure"/>
      </w:pPr>
      <w:r>
        <w:drawing>
          <wp:inline>
            <wp:extent cx="2926080" cy="2560320"/>
            <wp:effectExtent b="0" l="0" r="0" t="0"/>
            <wp:docPr descr="Training-only time series and STL components used for model identification." title="" id="24" name="Picture"/>
            <a:graphic>
              <a:graphicData uri="http://schemas.openxmlformats.org/drawingml/2006/picture">
                <pic:pic>
                  <pic:nvPicPr>
                    <pic:cNvPr descr="../analysis_outputs/nasa/figures/nasa_training_identification.png" id="25" name="Picture"/>
                    <pic:cNvPicPr>
                      <a:picLocks noChangeArrowheads="1" noChangeAspect="1"/>
                    </pic:cNvPicPr>
                  </pic:nvPicPr>
                  <pic:blipFill>
                    <a:blip r:embed="rId23"/>
                    <a:stretch>
                      <a:fillRect/>
                    </a:stretch>
                  </pic:blipFill>
                  <pic:spPr bwMode="auto">
                    <a:xfrm>
                      <a:off x="0" y="0"/>
                      <a:ext cx="2926080" cy="2560320"/>
                    </a:xfrm>
                    <a:prstGeom prst="rect">
                      <a:avLst/>
                    </a:prstGeom>
                    <a:noFill/>
                    <a:ln w="9525">
                      <a:noFill/>
                      <a:headEnd/>
                      <a:tailEnd/>
                    </a:ln>
                  </pic:spPr>
                </pic:pic>
              </a:graphicData>
            </a:graphic>
          </wp:inline>
        </w:drawing>
      </w:r>
    </w:p>
    <w:p>
      <w:pPr>
        <w:pStyle w:val="ImageCaption"/>
      </w:pPr>
      <w:r>
        <w:t xml:space="preserve">Training-only time series and STL components used for model identification.</w:t>
      </w:r>
    </w:p>
    <w:p>
      <w:r>
        <w:br w:type="column"/>
      </w:r>
    </w:p>
    <w:p>
      <w:pPr>
        <w:pStyle w:val="BodyText"/>
      </w:pPr>
      <w:r>
        <w:t xml:space="preserve">The search selected ETS(A,N,A), with additive errors, no trend, and additive seasonality, because it minimised AICc within the searched family (729.156) and remained physically plausible. Additive error and seasonality are also consistent with response-scale variation, while no trend avoids unsupported long-run extrapolation. Maximum-likelihood optimisation fitted α=0.02036 and γ=0.0001005; neither was manually selected. The small α implies slow level updating, and γ near its lower boundary implies that the estimated monthly seasonal states are almost fixed. β and damping φ were not estimated because the selected structure contained no trend. Lag 24 examines two annual cycles and uses two fitted smoothing degrees of freedom; Ljung–Box gave</w:t>
      </w:r>
      <w:r>
        <w:t xml:space="preserve"> </w:t>
      </w:r>
      <m:oMath>
        <m:r>
          <m:t>Q</m:t>
        </m:r>
        <m:r>
          <m:rPr>
            <m:sty m:val="p"/>
          </m:rPr>
          <m:t>=</m:t>
        </m:r>
        <m:r>
          <m:t>32.326</m:t>
        </m:r>
      </m:oMath>
      <w:r>
        <w:t xml:space="preserve">,</w:t>
      </w:r>
      <w:r>
        <w:t xml:space="preserve"> </w:t>
      </w:r>
      <m:oMath>
        <m:r>
          <m:t>p</m:t>
        </m:r>
        <m:r>
          <m:rPr>
            <m:sty m:val="p"/>
          </m:rPr>
          <m:t>=</m:t>
        </m:r>
        <m:r>
          <m:t>.072</m:t>
        </m:r>
      </m:oMath>
      <w:r>
        <w:t xml:space="preserve">, so white noise was not rejected, although the near-threshold result and boundary γ warrant constrained-model sensitivity checks.</w:t>
      </w:r>
    </w:p>
    <w:tbl>
      <w:tblPr>
        <w:tblStyle w:val="Table"/>
        <w:tblW w:type="pct" w:w="5000"/>
        <w:tblLayout w:type="fixed"/>
        <w:tblLook w:firstRow="1" w:lastRow="0" w:firstColumn="0" w:lastColumn="0" w:noHBand="0" w:noVBand="0" w:val="0020"/>
      </w:tblPr>
      <w:tblGrid>
        <w:gridCol w:w="5068"/>
        <w:gridCol w:w="2851"/>
      </w:tblGrid>
      <w:tr>
        <w:trPr>
          <w:tblHeader w:val="on"/>
        </w:trPr>
        <w:tc>
          <w:tcPr/>
          <w:p>
            <w:pPr>
              <w:pStyle w:val="Compact"/>
            </w:pPr>
            <w:r>
              <w:t xml:space="preserve">Test metric</w:t>
            </w:r>
          </w:p>
        </w:tc>
        <w:tc>
          <w:tcPr/>
          <w:p>
            <w:pPr>
              <w:pStyle w:val="Compact"/>
              <w:jc w:val="right"/>
            </w:pPr>
            <w:r>
              <w:t xml:space="preserve">Value</w:t>
            </w:r>
          </w:p>
        </w:tc>
      </w:tr>
      <w:tr>
        <w:tc>
          <w:tcPr/>
          <w:p>
            <w:pPr>
              <w:pStyle w:val="Compact"/>
            </w:pPr>
            <w:r>
              <w:t xml:space="preserve">RMSE (kWh/m²/day)</w:t>
            </w:r>
          </w:p>
        </w:tc>
        <w:tc>
          <w:tcPr/>
          <w:p>
            <w:pPr>
              <w:pStyle w:val="Compact"/>
              <w:jc w:val="right"/>
            </w:pPr>
            <w:r>
              <w:t xml:space="preserve">0.2947</w:t>
            </w:r>
          </w:p>
        </w:tc>
      </w:tr>
      <w:tr>
        <w:tc>
          <w:tcPr/>
          <w:p>
            <w:pPr>
              <w:pStyle w:val="Compact"/>
            </w:pPr>
            <w:r>
              <w:t xml:space="preserve">MAE (kWh/m²/day)</w:t>
            </w:r>
          </w:p>
        </w:tc>
        <w:tc>
          <w:tcPr/>
          <w:p>
            <w:pPr>
              <w:pStyle w:val="Compact"/>
              <w:jc w:val="right"/>
            </w:pPr>
            <w:r>
              <w:t xml:space="preserve">0.2351</w:t>
            </w:r>
          </w:p>
        </w:tc>
      </w:tr>
      <w:tr>
        <w:tc>
          <w:tcPr/>
          <w:p>
            <w:pPr>
              <w:pStyle w:val="Compact"/>
            </w:pPr>
            <w:r>
              <w:t xml:space="preserve">MAPE</w:t>
            </w:r>
          </w:p>
        </w:tc>
        <w:tc>
          <w:tcPr/>
          <w:p>
            <w:pPr>
              <w:pStyle w:val="Compact"/>
              <w:jc w:val="right"/>
            </w:pPr>
            <w:r>
              <w:t xml:space="preserve">4.9673%</w:t>
            </w:r>
          </w:p>
        </w:tc>
      </w:tr>
      <w:tr>
        <w:tc>
          <w:tcPr/>
          <w:p>
            <w:pPr>
              <w:pStyle w:val="Compact"/>
            </w:pPr>
            <w:r>
              <w:t xml:space="preserve">MASE</w:t>
            </w:r>
          </w:p>
        </w:tc>
        <w:tc>
          <w:tcPr/>
          <w:p>
            <w:pPr>
              <w:pStyle w:val="Compact"/>
              <w:jc w:val="right"/>
            </w:pPr>
            <w:r>
              <w:t xml:space="preserve">0.7920</w:t>
            </w:r>
          </w:p>
        </w:tc>
      </w:tr>
      <w:tr>
        <w:tc>
          <w:tcPr/>
          <w:p>
            <w:pPr>
              <w:pStyle w:val="Compact"/>
            </w:pPr>
            <w:r>
              <w:t xml:space="preserve">sMAPE</w:t>
            </w:r>
          </w:p>
        </w:tc>
        <w:tc>
          <w:tcPr/>
          <w:p>
            <w:pPr>
              <w:pStyle w:val="Compact"/>
              <w:jc w:val="right"/>
            </w:pPr>
            <w:r>
              <w:t xml:space="preserve">4.8996%</w:t>
            </w:r>
          </w:p>
        </w:tc>
      </w:tr>
      <w:tr>
        <w:tc>
          <w:tcPr/>
          <w:p>
            <w:pPr>
              <w:pStyle w:val="Compact"/>
            </w:pPr>
            <w:r>
              <w:t xml:space="preserve">Ljung–Box p-value</w:t>
            </w:r>
          </w:p>
        </w:tc>
        <w:tc>
          <w:tcPr/>
          <w:p>
            <w:pPr>
              <w:pStyle w:val="Compact"/>
              <w:jc w:val="right"/>
            </w:pPr>
            <w:r>
              <w:t xml:space="preserve">0.0720</w:t>
            </w:r>
          </w:p>
        </w:tc>
      </w:tr>
    </w:tbl>
    <w:p>
      <w:pPr>
        <w:pStyle w:val="CaptionedFigure"/>
      </w:pPr>
      <w:r>
        <w:drawing>
          <wp:inline>
            <wp:extent cx="2926080" cy="1645920"/>
            <wp:effectExtent b="0" l="0" r="0" t="0"/>
            <wp:docPr descr="ETS test forecasts with 95% intervals." title="" id="27" name="Picture"/>
            <a:graphic>
              <a:graphicData uri="http://schemas.openxmlformats.org/drawingml/2006/picture">
                <pic:pic>
                  <pic:nvPicPr>
                    <pic:cNvPr descr="../analysis_outputs/nasa/figures/nasa_ets_test_forecast.png" id="28" name="Picture"/>
                    <pic:cNvPicPr>
                      <a:picLocks noChangeArrowheads="1" noChangeAspect="1"/>
                    </pic:cNvPicPr>
                  </pic:nvPicPr>
                  <pic:blipFill>
                    <a:blip r:embed="rId26"/>
                    <a:stretch>
                      <a:fillRect/>
                    </a:stretch>
                  </pic:blipFill>
                  <pic:spPr bwMode="auto">
                    <a:xfrm>
                      <a:off x="0" y="0"/>
                      <a:ext cx="2926080" cy="1645920"/>
                    </a:xfrm>
                    <a:prstGeom prst="rect">
                      <a:avLst/>
                    </a:prstGeom>
                    <a:noFill/>
                    <a:ln w="9525">
                      <a:noFill/>
                      <a:headEnd/>
                      <a:tailEnd/>
                    </a:ln>
                  </pic:spPr>
                </pic:pic>
              </a:graphicData>
            </a:graphic>
          </wp:inline>
        </w:drawing>
      </w:r>
    </w:p>
    <w:p>
      <w:pPr>
        <w:pStyle w:val="ImageCaption"/>
      </w:pPr>
      <w:r>
        <w:t xml:space="preserve">ETS test forecasts with 95% intervals.</w:t>
      </w:r>
    </w:p>
    <w:p>
      <w:pPr>
        <w:pStyle w:val="BodyText"/>
      </w:pPr>
      <w:r>
        <w:t xml:space="preserve">ETS achieved test RMSE 0.2947 and MAE 0.2351, while its residual white-noise result remained just above the 5% threshold. Strengths include a transparent selected structure, probabilistic intervals, and stable additive seasonality. Limitations are the near-boundary γ estimate, a residual p-value close to 0.05, limited explanation of automatic selection, and vulnerability to structural change when seasonal states barely update.</w:t>
      </w:r>
    </w:p>
    <w:bookmarkEnd w:id="29"/>
    <w:bookmarkStart w:id="30" w:name="conclusion"/>
    <w:p>
      <w:pPr>
        <w:pStyle w:val="Heading1"/>
      </w:pPr>
      <w:r>
        <w:t xml:space="preserve">Conclusion</w:t>
      </w:r>
    </w:p>
    <w:p>
      <w:pPr>
        <w:pStyle w:val="FirstParagraph"/>
      </w:pPr>
      <w:r>
        <w:t xml:space="preserve">ETS(A,N,A) is suitable for the observed series and test period: RMSE was 0.2947, MAE was 0.2351, and the lag-24 Ljung–Box test did not reject residual white noise. Its AICc-selected additive state-space structure and probabilistic intervals are strengths, but the near-boundary γ and p-value close to .05 indicate limited seasonal adaptation and residual uncertainty. Constrained ETS comparisons, rolling-origin evaluation, and Box–Cox sensitivity analysis are therefore recommended. Forecast intervals should accompany planning decisions, and irradiance should not be equated with electricity output.</w:t>
      </w:r>
    </w:p>
    <w:bookmarkEnd w:id="30"/>
    <w:bookmarkStart w:id="38" w:name="references"/>
    <w:p>
      <w:pPr>
        <w:pStyle w:val="Heading1"/>
      </w:pPr>
      <w:r>
        <w:t xml:space="preserve">References</w:t>
      </w:r>
    </w:p>
    <w:bookmarkStart w:id="37" w:name="refs"/>
    <w:bookmarkStart w:id="32" w:name="ref-nasa-power-monthly"/>
    <w:p>
      <w:pPr>
        <w:pStyle w:val="Bibliography"/>
      </w:pPr>
      <w:r>
        <w:t xml:space="preserve">[1]</w:t>
      </w:r>
      <w:r>
        <w:t xml:space="preserve"> </w:t>
      </w:r>
      <w:r>
        <w:t xml:space="preserve">	</w:t>
      </w:r>
      <w:r>
        <w:t xml:space="preserve">NASA Prediction Of Worldwide Energy Resources,</w:t>
      </w:r>
      <w:r>
        <w:t xml:space="preserve"> </w:t>
      </w:r>
      <w:r>
        <w:t xml:space="preserve">‘Monthly and annual API’</w:t>
      </w:r>
      <w:r>
        <w:t xml:space="preserve">. Accessed: Sep. 01, 2026. [Online]. Available:</w:t>
      </w:r>
      <w:r>
        <w:t xml:space="preserve"> </w:t>
      </w:r>
      <w:hyperlink r:id="rId31">
        <w:r>
          <w:rPr>
            <w:rStyle w:val="Hyperlink"/>
          </w:rPr>
          <w:t xml:space="preserve">https://power.larc.nasa.gov/docs/services/api/temporal/monthly/</w:t>
        </w:r>
      </w:hyperlink>
    </w:p>
    <w:bookmarkEnd w:id="32"/>
    <w:bookmarkStart w:id="34" w:name="ref-hyndman-athanasopoulos-2021"/>
    <w:p>
      <w:pPr>
        <w:pStyle w:val="Bibliography"/>
      </w:pPr>
      <w:r>
        <w:t xml:space="preserve">[2]</w:t>
      </w:r>
      <w:r>
        <w:t xml:space="preserve"> </w:t>
      </w:r>
      <w:r>
        <w:t xml:space="preserve">	</w:t>
      </w:r>
      <w:r>
        <w:t xml:space="preserve">R. J. Hyndman and G. Athanasopoulos,</w:t>
      </w:r>
      <w:r>
        <w:t xml:space="preserve"> </w:t>
      </w:r>
      <w:r>
        <w:rPr>
          <w:i/>
          <w:iCs/>
        </w:rPr>
        <w:t xml:space="preserve">Forecasting: Principles and practice</w:t>
      </w:r>
      <w:r>
        <w:t xml:space="preserve">, 3rd edn. Melbourne, Australia: OTexts, 2021. Available:</w:t>
      </w:r>
      <w:r>
        <w:t xml:space="preserve"> </w:t>
      </w:r>
      <w:hyperlink r:id="rId33">
        <w:r>
          <w:rPr>
            <w:rStyle w:val="Hyperlink"/>
          </w:rPr>
          <w:t xml:space="preserve">https://otexts.com/fpp3/</w:t>
        </w:r>
      </w:hyperlink>
    </w:p>
    <w:bookmarkEnd w:id="34"/>
    <w:bookmarkStart w:id="36" w:name="ref-forecast-residuals"/>
    <w:p>
      <w:pPr>
        <w:pStyle w:val="Bibliography"/>
      </w:pPr>
      <w:r>
        <w:t xml:space="preserve">[3]</w:t>
      </w:r>
      <w:r>
        <w:t xml:space="preserve"> </w:t>
      </w:r>
      <w:r>
        <w:t xml:space="preserve">	</w:t>
      </w:r>
      <w:r>
        <w:t xml:space="preserve">R. J. Hyndman,</w:t>
      </w:r>
      <w:r>
        <w:t xml:space="preserve"> </w:t>
      </w:r>
      <w:r>
        <w:t xml:space="preserve">‘Residuals for various time series models’</w:t>
      </w:r>
      <w:r>
        <w:t xml:space="preserve">. Accessed: Sep. 01, 2026. [Online]. Available:</w:t>
      </w:r>
      <w:r>
        <w:t xml:space="preserve"> </w:t>
      </w:r>
      <w:hyperlink r:id="rId35">
        <w:r>
          <w:rPr>
            <w:rStyle w:val="Hyperlink"/>
          </w:rPr>
          <w:t xml:space="preserve">https://pkg.robjhyndman.com/forecast/reference/residuals.forecast.html</w:t>
        </w:r>
      </w:hyperlink>
    </w:p>
    <w:bookmarkEnd w:id="36"/>
    <w:bookmarkEnd w:id="37"/>
    <w:bookmarkEnd w:id="38"/>
    <w:bookmarkStart w:id="43" w:name="appendix"/>
    <w:p>
      <w:pPr>
        <w:pStyle w:val="Heading1"/>
      </w:pPr>
      <w:r>
        <w:t xml:space="preserve">Appendix</w:t>
      </w:r>
    </w:p>
    <w:bookmarkStart w:id="42" w:name="appendix-a-reproducible-ets-code"/>
    <w:p>
      <w:pPr>
        <w:pStyle w:val="Heading2"/>
      </w:pPr>
      <w:r>
        <w:t xml:space="preserve">Appendix A: Reproducible ETS Code</w:t>
      </w:r>
    </w:p>
    <w:p>
      <w:pPr>
        <w:pStyle w:val="FirstParagraph"/>
      </w:pPr>
      <w:r>
        <w:t xml:space="preserve">Canonical source:</w:t>
      </w:r>
      <w:r>
        <w:t xml:space="preserve"> </w:t>
      </w:r>
      <w:r>
        <w:rPr>
          <w:rStyle w:val="VerbatimChar"/>
        </w:rPr>
        <w:t xml:space="preserve">../NASA_Solar_Irradiance_Forecasting.R</w:t>
      </w:r>
      <w:r>
        <w:t xml:space="preserve">. No random procedure is used.</w:t>
      </w:r>
    </w:p>
    <w:p>
      <w:pPr>
        <w:pStyle w:val="CaptionedFigure"/>
      </w:pPr>
      <w:r>
        <w:drawing>
          <wp:inline>
            <wp:extent cx="2926080" cy="1645920"/>
            <wp:effectExtent b="0" l="0" r="0" t="0"/>
            <wp:docPr descr="ETS training response residuals and residual ACF." title="" id="40" name="Picture"/>
            <a:graphic>
              <a:graphicData uri="http://schemas.openxmlformats.org/drawingml/2006/picture">
                <pic:pic>
                  <pic:nvPicPr>
                    <pic:cNvPr descr="../analysis_outputs/nasa/figures/nasa_ets_diagnostics.png" id="41" name="Picture"/>
                    <pic:cNvPicPr>
                      <a:picLocks noChangeArrowheads="1" noChangeAspect="1"/>
                    </pic:cNvPicPr>
                  </pic:nvPicPr>
                  <pic:blipFill>
                    <a:blip r:embed="rId39"/>
                    <a:stretch>
                      <a:fillRect/>
                    </a:stretch>
                  </pic:blipFill>
                  <pic:spPr bwMode="auto">
                    <a:xfrm>
                      <a:off x="0" y="0"/>
                      <a:ext cx="2926080" cy="1645920"/>
                    </a:xfrm>
                    <a:prstGeom prst="rect">
                      <a:avLst/>
                    </a:prstGeom>
                    <a:noFill/>
                    <a:ln w="9525">
                      <a:noFill/>
                      <a:headEnd/>
                      <a:tailEnd/>
                    </a:ln>
                  </pic:spPr>
                </pic:pic>
              </a:graphicData>
            </a:graphic>
          </wp:inline>
        </w:drawing>
      </w:r>
    </w:p>
    <w:p>
      <w:pPr>
        <w:pStyle w:val="ImageCaption"/>
      </w:pPr>
      <w:r>
        <w:t xml:space="preserve">ETS training response residuals and residual ACF.</w:t>
      </w:r>
    </w:p>
    <w:p>
      <w:pPr>
        <w:pStyle w:val="SourceCode"/>
      </w:pPr>
      <w:r>
        <w:rPr>
          <w:rStyle w:val="NormalTok"/>
        </w:rPr>
        <w:t xml:space="preserve">train </w:t>
      </w:r>
      <w:r>
        <w:rPr>
          <w:rStyle w:val="OtherTok"/>
        </w:rPr>
        <w:t xml:space="preserve">&lt;-</w:t>
      </w:r>
      <w:r>
        <w:rPr>
          <w:rStyle w:val="NormalTok"/>
        </w:rPr>
        <w:t xml:space="preserve"> </w:t>
      </w:r>
      <w:r>
        <w:rPr>
          <w:rStyle w:val="FunctionTok"/>
        </w:rPr>
        <w:t xml:space="preserve">window</w:t>
      </w:r>
      <w:r>
        <w:rPr>
          <w:rStyle w:val="NormalTok"/>
        </w:rPr>
        <w:t xml:space="preserve">(series, </w:t>
      </w:r>
      <w:r>
        <w:rPr>
          <w:rStyle w:val="AttributeTok"/>
        </w:rPr>
        <w:t xml:space="preserve">end =</w:t>
      </w:r>
      <w:r>
        <w:rPr>
          <w:rStyle w:val="NormalTok"/>
        </w:rPr>
        <w:t xml:space="preserve"> </w:t>
      </w:r>
      <w:r>
        <w:rPr>
          <w:rStyle w:val="FunctionTok"/>
        </w:rPr>
        <w:t xml:space="preserve">c</w:t>
      </w:r>
      <w:r>
        <w:rPr>
          <w:rStyle w:val="NormalTok"/>
        </w:rPr>
        <w:t xml:space="preserve">(</w:t>
      </w:r>
      <w:r>
        <w:rPr>
          <w:rStyle w:val="DecValTok"/>
        </w:rPr>
        <w:t xml:space="preserve">2020</w:t>
      </w:r>
      <w:r>
        <w:rPr>
          <w:rStyle w:val="NormalTok"/>
        </w:rPr>
        <w:t xml:space="preserve">, </w:t>
      </w:r>
      <w:r>
        <w:rPr>
          <w:rStyle w:val="DecValTok"/>
        </w:rPr>
        <w:t xml:space="preserve">12</w:t>
      </w:r>
      <w:r>
        <w:rPr>
          <w:rStyle w:val="NormalTok"/>
        </w:rPr>
        <w:t xml:space="preserve">))</w:t>
      </w:r>
      <w:r>
        <w:br/>
      </w:r>
      <w:r>
        <w:rPr>
          <w:rStyle w:val="NormalTok"/>
        </w:rPr>
        <w:t xml:space="preserve">test  </w:t>
      </w:r>
      <w:r>
        <w:rPr>
          <w:rStyle w:val="OtherTok"/>
        </w:rPr>
        <w:t xml:space="preserve">&lt;-</w:t>
      </w:r>
      <w:r>
        <w:rPr>
          <w:rStyle w:val="NormalTok"/>
        </w:rPr>
        <w:t xml:space="preserve"> </w:t>
      </w:r>
      <w:r>
        <w:rPr>
          <w:rStyle w:val="FunctionTok"/>
        </w:rPr>
        <w:t xml:space="preserve">window</w:t>
      </w:r>
      <w:r>
        <w:rPr>
          <w:rStyle w:val="NormalTok"/>
        </w:rPr>
        <w:t xml:space="preserve">(series, </w:t>
      </w:r>
      <w:r>
        <w:rPr>
          <w:rStyle w:val="AttributeTok"/>
        </w:rPr>
        <w:t xml:space="preserve">start =</w:t>
      </w:r>
      <w:r>
        <w:rPr>
          <w:rStyle w:val="NormalTok"/>
        </w:rPr>
        <w:t xml:space="preserve"> </w:t>
      </w:r>
      <w:r>
        <w:rPr>
          <w:rStyle w:val="FunctionTok"/>
        </w:rPr>
        <w:t xml:space="preserve">c</w:t>
      </w:r>
      <w:r>
        <w:rPr>
          <w:rStyle w:val="NormalTok"/>
        </w:rPr>
        <w:t xml:space="preserve">(</w:t>
      </w:r>
      <w:r>
        <w:rPr>
          <w:rStyle w:val="DecValTok"/>
        </w:rPr>
        <w:t xml:space="preserve">2021</w:t>
      </w:r>
      <w:r>
        <w:rPr>
          <w:rStyle w:val="NormalTok"/>
        </w:rPr>
        <w:t xml:space="preserve">, </w:t>
      </w:r>
      <w:r>
        <w:rPr>
          <w:rStyle w:val="DecValTok"/>
        </w:rPr>
        <w:t xml:space="preserve">1</w:t>
      </w:r>
      <w:r>
        <w:rPr>
          <w:rStyle w:val="NormalTok"/>
        </w:rPr>
        <w:t xml:space="preserve">))</w:t>
      </w:r>
      <w:r>
        <w:br/>
      </w:r>
      <w:r>
        <w:br/>
      </w:r>
      <w:r>
        <w:rPr>
          <w:rStyle w:val="NormalTok"/>
        </w:rPr>
        <w:t xml:space="preserve">ets_fit </w:t>
      </w:r>
      <w:r>
        <w:rPr>
          <w:rStyle w:val="OtherTok"/>
        </w:rPr>
        <w:t xml:space="preserve">&lt;-</w:t>
      </w:r>
      <w:r>
        <w:rPr>
          <w:rStyle w:val="NormalTok"/>
        </w:rPr>
        <w:t xml:space="preserve"> </w:t>
      </w:r>
      <w:r>
        <w:rPr>
          <w:rStyle w:val="FunctionTok"/>
        </w:rPr>
        <w:t xml:space="preserve">ets</w:t>
      </w:r>
      <w:r>
        <w:rPr>
          <w:rStyle w:val="NormalTok"/>
        </w:rPr>
        <w:t xml:space="preserve">(train) </w:t>
      </w:r>
      <w:r>
        <w:rPr>
          <w:rStyle w:val="CommentTok"/>
        </w:rPr>
        <w:t xml:space="preserve"># automatic ZZZ search; AICc selection</w:t>
      </w:r>
      <w:r>
        <w:br/>
      </w:r>
      <w:r>
        <w:rPr>
          <w:rStyle w:val="NormalTok"/>
        </w:rPr>
        <w:t xml:space="preserve">ets_fc </w:t>
      </w:r>
      <w:r>
        <w:rPr>
          <w:rStyle w:val="OtherTok"/>
        </w:rPr>
        <w:t xml:space="preserve">&lt;-</w:t>
      </w:r>
      <w:r>
        <w:rPr>
          <w:rStyle w:val="NormalTok"/>
        </w:rPr>
        <w:t xml:space="preserve"> </w:t>
      </w:r>
      <w:r>
        <w:rPr>
          <w:rStyle w:val="FunctionTok"/>
        </w:rPr>
        <w:t xml:space="preserve">forecast</w:t>
      </w:r>
      <w:r>
        <w:rPr>
          <w:rStyle w:val="NormalTok"/>
        </w:rPr>
        <w:t xml:space="preserve">(ets_fit, </w:t>
      </w:r>
      <w:r>
        <w:rPr>
          <w:rStyle w:val="AttributeTok"/>
        </w:rPr>
        <w:t xml:space="preserve">h =</w:t>
      </w:r>
      <w:r>
        <w:rPr>
          <w:rStyle w:val="NormalTok"/>
        </w:rPr>
        <w:t xml:space="preserve"> </w:t>
      </w:r>
      <w:r>
        <w:rPr>
          <w:rStyle w:val="FunctionTok"/>
        </w:rPr>
        <w:t xml:space="preserve">length</w:t>
      </w:r>
      <w:r>
        <w:rPr>
          <w:rStyle w:val="NormalTok"/>
        </w:rPr>
        <w:t xml:space="preserve">(test), </w:t>
      </w:r>
      <w:r>
        <w:rPr>
          <w:rStyle w:val="AttributeTok"/>
        </w:rPr>
        <w:t xml:space="preserve">level =</w:t>
      </w:r>
      <w:r>
        <w:rPr>
          <w:rStyle w:val="NormalTok"/>
        </w:rPr>
        <w:t xml:space="preserve"> </w:t>
      </w:r>
      <w:r>
        <w:rPr>
          <w:rStyle w:val="FunctionTok"/>
        </w:rPr>
        <w:t xml:space="preserve">c</w:t>
      </w:r>
      <w:r>
        <w:rPr>
          <w:rStyle w:val="NormalTok"/>
        </w:rPr>
        <w:t xml:space="preserve">(</w:t>
      </w:r>
      <w:r>
        <w:rPr>
          <w:rStyle w:val="DecValTok"/>
        </w:rPr>
        <w:t xml:space="preserve">80</w:t>
      </w:r>
      <w:r>
        <w:rPr>
          <w:rStyle w:val="NormalTok"/>
        </w:rPr>
        <w:t xml:space="preserve">, </w:t>
      </w:r>
      <w:r>
        <w:rPr>
          <w:rStyle w:val="DecValTok"/>
        </w:rPr>
        <w:t xml:space="preserve">95</w:t>
      </w:r>
      <w:r>
        <w:rPr>
          <w:rStyle w:val="NormalTok"/>
        </w:rPr>
        <w:t xml:space="preserve">))</w:t>
      </w:r>
      <w:r>
        <w:br/>
      </w:r>
      <w:r>
        <w:rPr>
          <w:rStyle w:val="NormalTok"/>
        </w:rPr>
        <w:t xml:space="preserve">ets_response_residuals </w:t>
      </w:r>
      <w:r>
        <w:rPr>
          <w:rStyle w:val="OtherTok"/>
        </w:rPr>
        <w:t xml:space="preserve">&lt;-</w:t>
      </w:r>
      <w:r>
        <w:br/>
      </w:r>
      <w:r>
        <w:rPr>
          <w:rStyle w:val="NormalTok"/>
        </w:rPr>
        <w:t xml:space="preserve">  </w:t>
      </w:r>
      <w:r>
        <w:rPr>
          <w:rStyle w:val="FunctionTok"/>
        </w:rPr>
        <w:t xml:space="preserve">as.numeric</w:t>
      </w:r>
      <w:r>
        <w:rPr>
          <w:rStyle w:val="NormalTok"/>
        </w:rPr>
        <w:t xml:space="preserve">(train) </w:t>
      </w:r>
      <w:r>
        <w:rPr>
          <w:rStyle w:val="SpecialCharTok"/>
        </w:rPr>
        <w:t xml:space="preserve">-</w:t>
      </w:r>
      <w:r>
        <w:rPr>
          <w:rStyle w:val="NormalTok"/>
        </w:rPr>
        <w:t xml:space="preserve"> </w:t>
      </w:r>
      <w:r>
        <w:rPr>
          <w:rStyle w:val="FunctionTok"/>
        </w:rPr>
        <w:t xml:space="preserve">as.numeric</w:t>
      </w:r>
      <w:r>
        <w:rPr>
          <w:rStyle w:val="NormalTok"/>
        </w:rPr>
        <w:t xml:space="preserve">(</w:t>
      </w:r>
      <w:r>
        <w:rPr>
          <w:rStyle w:val="FunctionTok"/>
        </w:rPr>
        <w:t xml:space="preserve">fitted</w:t>
      </w:r>
      <w:r>
        <w:rPr>
          <w:rStyle w:val="NormalTok"/>
        </w:rPr>
        <w:t xml:space="preserve">(ets_fit))</w:t>
      </w:r>
      <w:r>
        <w:br/>
      </w:r>
      <w:r>
        <w:rPr>
          <w:rStyle w:val="NormalTok"/>
        </w:rPr>
        <w:t xml:space="preserve">ets_fitdf </w:t>
      </w:r>
      <w:r>
        <w:rPr>
          <w:rStyle w:val="OtherTok"/>
        </w:rPr>
        <w:t xml:space="preserve">&lt;-</w:t>
      </w:r>
      <w:r>
        <w:rPr>
          <w:rStyle w:val="NormalTok"/>
        </w:rPr>
        <w:t xml:space="preserve"> </w:t>
      </w:r>
      <w:r>
        <w:rPr>
          <w:rStyle w:val="FunctionTok"/>
        </w:rPr>
        <w:t xml:space="preserve">length</w:t>
      </w:r>
      <w:r>
        <w:rPr>
          <w:rStyle w:val="NormalTok"/>
        </w:rPr>
        <w:t xml:space="preserve">(</w:t>
      </w:r>
      <w:r>
        <w:rPr>
          <w:rStyle w:val="FunctionTok"/>
        </w:rPr>
        <w:t xml:space="preserve">intersect</w:t>
      </w:r>
      <w:r>
        <w:rPr>
          <w:rStyle w:val="NormalTok"/>
        </w:rPr>
        <w:t xml:space="preserve">(</w:t>
      </w:r>
      <w:r>
        <w:br/>
      </w:r>
      <w:r>
        <w:rPr>
          <w:rStyle w:val="NormalTok"/>
        </w:rPr>
        <w:t xml:space="preserve">  </w:t>
      </w:r>
      <w:r>
        <w:rPr>
          <w:rStyle w:val="FunctionTok"/>
        </w:rPr>
        <w:t xml:space="preserve">names</w:t>
      </w:r>
      <w:r>
        <w:rPr>
          <w:rStyle w:val="NormalTok"/>
        </w:rPr>
        <w:t xml:space="preserve">(</w:t>
      </w:r>
      <w:r>
        <w:rPr>
          <w:rStyle w:val="FunctionTok"/>
        </w:rPr>
        <w:t xml:space="preserve">coef</w:t>
      </w:r>
      <w:r>
        <w:rPr>
          <w:rStyle w:val="NormalTok"/>
        </w:rPr>
        <w:t xml:space="preserve">(ets_fit)), </w:t>
      </w:r>
      <w:r>
        <w:rPr>
          <w:rStyle w:val="FunctionTok"/>
        </w:rPr>
        <w:t xml:space="preserve">c</w:t>
      </w:r>
      <w:r>
        <w:rPr>
          <w:rStyle w:val="NormalTok"/>
        </w:rPr>
        <w:t xml:space="preserve">(</w:t>
      </w:r>
      <w:r>
        <w:rPr>
          <w:rStyle w:val="StringTok"/>
        </w:rPr>
        <w:t xml:space="preserve">"alpha"</w:t>
      </w:r>
      <w:r>
        <w:rPr>
          <w:rStyle w:val="NormalTok"/>
        </w:rPr>
        <w:t xml:space="preserve">, </w:t>
      </w:r>
      <w:r>
        <w:rPr>
          <w:rStyle w:val="StringTok"/>
        </w:rPr>
        <w:t xml:space="preserve">"beta"</w:t>
      </w:r>
      <w:r>
        <w:rPr>
          <w:rStyle w:val="NormalTok"/>
        </w:rPr>
        <w:t xml:space="preserve">, </w:t>
      </w:r>
      <w:r>
        <w:rPr>
          <w:rStyle w:val="StringTok"/>
        </w:rPr>
        <w:t xml:space="preserve">"gamma"</w:t>
      </w:r>
      <w:r>
        <w:rPr>
          <w:rStyle w:val="NormalTok"/>
        </w:rPr>
        <w:t xml:space="preserve">, </w:t>
      </w:r>
      <w:r>
        <w:rPr>
          <w:rStyle w:val="StringTok"/>
        </w:rPr>
        <w:t xml:space="preserve">"phi"</w:t>
      </w:r>
      <w:r>
        <w:rPr>
          <w:rStyle w:val="NormalTok"/>
        </w:rPr>
        <w:t xml:space="preserve">)</w:t>
      </w:r>
      <w:r>
        <w:br/>
      </w:r>
      <w:r>
        <w:rPr>
          <w:rStyle w:val="NormalTok"/>
        </w:rPr>
        <w:t xml:space="preserve">))</w:t>
      </w:r>
      <w:r>
        <w:br/>
      </w:r>
      <w:r>
        <w:rPr>
          <w:rStyle w:val="FunctionTok"/>
        </w:rPr>
        <w:t xml:space="preserve">Box.test</w:t>
      </w:r>
      <w:r>
        <w:rPr>
          <w:rStyle w:val="NormalTok"/>
        </w:rPr>
        <w:t xml:space="preserve">(ets_response_residuals, </w:t>
      </w:r>
      <w:r>
        <w:rPr>
          <w:rStyle w:val="AttributeTok"/>
        </w:rPr>
        <w:t xml:space="preserve">lag =</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"Ljung-Box"</w:t>
      </w:r>
      <w:r>
        <w:rPr>
          <w:rStyle w:val="NormalTok"/>
        </w:rPr>
        <w:t xml:space="preserve">, </w:t>
      </w:r>
      <w:r>
        <w:rPr>
          <w:rStyle w:val="AttributeTok"/>
        </w:rPr>
        <w:t xml:space="preserve">fitdf =</w:t>
      </w:r>
      <w:r>
        <w:rPr>
          <w:rStyle w:val="NormalTok"/>
        </w:rPr>
        <w:t xml:space="preserve"> ets_fitdf)</w:t>
      </w:r>
      <w:r>
        <w:br/>
      </w:r>
      <w:r>
        <w:rPr>
          <w:rStyle w:val="FunctionTok"/>
        </w:rPr>
        <w:t xml:space="preserve">metric_row</w:t>
      </w:r>
      <w:r>
        <w:rPr>
          <w:rStyle w:val="NormalTok"/>
        </w:rPr>
        <w:t xml:space="preserve">(</w:t>
      </w:r>
      <w:r>
        <w:rPr>
          <w:rStyle w:val="StringTok"/>
        </w:rPr>
        <w:t xml:space="preserve">"ETS"</w:t>
      </w:r>
      <w:r>
        <w:rPr>
          <w:rStyle w:val="NormalTok"/>
        </w:rPr>
        <w:t xml:space="preserve">, ets_fc, test, train)</w:t>
      </w:r>
    </w:p>
    <w:bookmarkEnd w:id="42"/>
    <w:bookmarkEnd w:id="43"/>
    <w:sectPr w:rsidR="00D7522C" w:rsidRPr="00CA4392" w:rsidSect="00E41015">
      <w:headerReference r:id="rId8" w:type="even"/>
      <w:headerReference r:id="rId9" w:type="default"/>
      <w:footerReference r:id="rId10" w:type="even"/>
      <w:footerReference r:id="rId11" w:type="default"/>
      <w:headerReference r:id="rId12" w:type="first"/>
      <w:footerReference r:id="rId13" w:type="first"/>
      <w:type w:val="continuous"/>
      <w:pgSz w:code="1" w:h="15840" w:w="12240"/>
      <w:pgMar w:bottom="1440" w:footer="720" w:gutter="0" w:header="720" w:left="893" w:right="893" w:top="1080"/>
      <w:cols w:num="2" w:space="36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C890E" w14:textId="77777777" w:rsidR="00E41015" w:rsidRDefault="00E410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6CC85" w14:textId="77777777" w:rsidR="00E41015" w:rsidRDefault="00E410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EAAFE" w14:textId="77777777" w:rsidR="00E41015" w:rsidRDefault="00E410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9F4F3" w14:textId="77777777" w:rsidR="00E41015" w:rsidRDefault="00E410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A3D8C" w14:textId="77777777" w:rsidR="00E41015" w:rsidRDefault="00E41015">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1D"/>
    <w:multiLevelType w:val="multilevel"/>
    <w:tmpl w:val="7A36CE9E"/>
    <w:lvl w:ilvl="0">
      <w:start w:val="1"/>
      <w:numFmt w:val="bullet"/>
      <w:lvlText w:val=""/>
      <w:lvlJc w:val="left"/>
      <w:pPr>
        <w:tabs>
          <w:tab w:pos="0" w:val="num"/>
        </w:tabs>
        <w:ind w:firstLine="0" w:left="0"/>
      </w:pPr>
      <w:rPr>
        <w:rFonts w:ascii="Symbol" w:hAnsi="Symbol" w:hint="default"/>
      </w:rPr>
    </w:lvl>
    <w:lvl w:ilvl="1">
      <w:start w:val="1"/>
      <w:numFmt w:val="bullet"/>
      <w:lvlText w:val=""/>
      <w:lvlJc w:val="left"/>
      <w:pPr>
        <w:tabs>
          <w:tab w:pos="720" w:val="num"/>
        </w:tabs>
        <w:ind w:hanging="360" w:left="1080"/>
      </w:pPr>
      <w:rPr>
        <w:rFonts w:ascii="Symbol" w:hAnsi="Symbol" w:hint="default"/>
      </w:rPr>
    </w:lvl>
    <w:lvl w:ilvl="2">
      <w:start w:val="1"/>
      <w:numFmt w:val="bullet"/>
      <w:lvlText w:val="o"/>
      <w:lvlJc w:val="left"/>
      <w:pPr>
        <w:tabs>
          <w:tab w:pos="1440" w:val="num"/>
        </w:tabs>
        <w:ind w:hanging="360" w:left="1800"/>
      </w:pPr>
      <w:rPr>
        <w:rFonts w:ascii="Courier New" w:cs="Courier New" w:hAnsi="Courier New" w:hint="default"/>
      </w:rPr>
    </w:lvl>
    <w:lvl w:ilvl="3">
      <w:start w:val="1"/>
      <w:numFmt w:val="bullet"/>
      <w:lvlText w:val=""/>
      <w:lvlJc w:val="left"/>
      <w:pPr>
        <w:tabs>
          <w:tab w:pos="2160" w:val="num"/>
        </w:tabs>
        <w:ind w:hanging="360" w:left="2520"/>
      </w:pPr>
      <w:rPr>
        <w:rFonts w:ascii="Wingdings" w:hAnsi="Wingdings" w:hint="default"/>
      </w:rPr>
    </w:lvl>
    <w:lvl w:ilvl="4">
      <w:start w:val="1"/>
      <w:numFmt w:val="bullet"/>
      <w:lvlText w:val=""/>
      <w:lvlJc w:val="left"/>
      <w:pPr>
        <w:tabs>
          <w:tab w:pos="2880" w:val="num"/>
        </w:tabs>
        <w:ind w:hanging="360" w:left="3240"/>
      </w:pPr>
      <w:rPr>
        <w:rFonts w:ascii="Wingdings" w:hAnsi="Wingdings" w:hint="default"/>
      </w:rPr>
    </w:lvl>
    <w:lvl w:ilvl="5">
      <w:start w:val="1"/>
      <w:numFmt w:val="bullet"/>
      <w:lvlText w:val=""/>
      <w:lvlJc w:val="left"/>
      <w:pPr>
        <w:tabs>
          <w:tab w:pos="3600" w:val="num"/>
        </w:tabs>
        <w:ind w:hanging="360" w:left="3960"/>
      </w:pPr>
      <w:rPr>
        <w:rFonts w:ascii="Symbol" w:hAnsi="Symbol" w:hint="default"/>
      </w:rPr>
    </w:lvl>
    <w:lvl w:ilvl="6">
      <w:start w:val="1"/>
      <w:numFmt w:val="bullet"/>
      <w:lvlText w:val="o"/>
      <w:lvlJc w:val="left"/>
      <w:pPr>
        <w:tabs>
          <w:tab w:pos="4320" w:val="num"/>
        </w:tabs>
        <w:ind w:hanging="360" w:left="4680"/>
      </w:pPr>
      <w:rPr>
        <w:rFonts w:ascii="Courier New" w:cs="Courier New" w:hAnsi="Courier New" w:hint="default"/>
      </w:rPr>
    </w:lvl>
    <w:lvl w:ilvl="7">
      <w:start w:val="1"/>
      <w:numFmt w:val="bullet"/>
      <w:lvlText w:val=""/>
      <w:lvlJc w:val="left"/>
      <w:pPr>
        <w:tabs>
          <w:tab w:pos="5040" w:val="num"/>
        </w:tabs>
        <w:ind w:hanging="360" w:left="5400"/>
      </w:pPr>
      <w:rPr>
        <w:rFonts w:ascii="Wingdings" w:hAnsi="Wingdings" w:hint="default"/>
      </w:rPr>
    </w:lvl>
    <w:lvl w:ilvl="8">
      <w:start w:val="1"/>
      <w:numFmt w:val="bullet"/>
      <w:lvlText w:val=""/>
      <w:lvlJc w:val="left"/>
      <w:pPr>
        <w:tabs>
          <w:tab w:pos="5760" w:val="num"/>
        </w:tabs>
        <w:ind w:hanging="360" w:left="6120"/>
      </w:pPr>
      <w:rPr>
        <w:rFonts w:ascii="Wingdings" w:hAnsi="Wingdings" w:hint="default"/>
      </w:rPr>
    </w:lvl>
  </w:abstractNum>
  <w:abstractNum w15:restartNumberingAfterBreak="0" w:abstractNumId="1">
    <w:nsid w:val="FFFFFF7C"/>
    <w:multiLevelType w:val="singleLevel"/>
    <w:tmpl w:val="DD629BEE"/>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2648E1C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9D38DB54"/>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632C24E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82268A14"/>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8C0E77F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174639B8"/>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B1ACC408"/>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229E8DFE"/>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EA847AFE"/>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1E177E97"/>
    <w:multiLevelType w:val="hybridMultilevel"/>
    <w:tmpl w:val="A6463BCE"/>
    <w:lvl w:ilvl="0" w:tplc="04140013">
      <w:start w:val="1"/>
      <w:numFmt w:val="upperRoman"/>
      <w:lvlText w:val="%1."/>
      <w:lvlJc w:val="right"/>
      <w:pPr>
        <w:ind w:hanging="360" w:left="936"/>
      </w:pPr>
    </w:lvl>
    <w:lvl w:ilvl="1" w:tentative="1" w:tplc="04140019">
      <w:start w:val="1"/>
      <w:numFmt w:val="lowerLetter"/>
      <w:lvlText w:val="%2."/>
      <w:lvlJc w:val="left"/>
      <w:pPr>
        <w:ind w:hanging="360" w:left="1656"/>
      </w:pPr>
    </w:lvl>
    <w:lvl w:ilvl="2" w:tentative="1" w:tplc="0414001B">
      <w:start w:val="1"/>
      <w:numFmt w:val="lowerRoman"/>
      <w:lvlText w:val="%3."/>
      <w:lvlJc w:val="right"/>
      <w:pPr>
        <w:ind w:hanging="180" w:left="2376"/>
      </w:pPr>
    </w:lvl>
    <w:lvl w:ilvl="3" w:tentative="1" w:tplc="0414000F">
      <w:start w:val="1"/>
      <w:numFmt w:val="decimal"/>
      <w:lvlText w:val="%4."/>
      <w:lvlJc w:val="left"/>
      <w:pPr>
        <w:ind w:hanging="360" w:left="3096"/>
      </w:pPr>
    </w:lvl>
    <w:lvl w:ilvl="4" w:tentative="1" w:tplc="04140019">
      <w:start w:val="1"/>
      <w:numFmt w:val="lowerLetter"/>
      <w:lvlText w:val="%5."/>
      <w:lvlJc w:val="left"/>
      <w:pPr>
        <w:ind w:hanging="360" w:left="3816"/>
      </w:pPr>
    </w:lvl>
    <w:lvl w:ilvl="5" w:tentative="1" w:tplc="0414001B">
      <w:start w:val="1"/>
      <w:numFmt w:val="lowerRoman"/>
      <w:lvlText w:val="%6."/>
      <w:lvlJc w:val="right"/>
      <w:pPr>
        <w:ind w:hanging="180" w:left="4536"/>
      </w:pPr>
    </w:lvl>
    <w:lvl w:ilvl="6" w:tentative="1" w:tplc="0414000F">
      <w:start w:val="1"/>
      <w:numFmt w:val="decimal"/>
      <w:lvlText w:val="%7."/>
      <w:lvlJc w:val="left"/>
      <w:pPr>
        <w:ind w:hanging="360" w:left="5256"/>
      </w:pPr>
    </w:lvl>
    <w:lvl w:ilvl="7" w:tentative="1" w:tplc="04140019">
      <w:start w:val="1"/>
      <w:numFmt w:val="lowerLetter"/>
      <w:lvlText w:val="%8."/>
      <w:lvlJc w:val="left"/>
      <w:pPr>
        <w:ind w:hanging="360" w:left="5976"/>
      </w:pPr>
    </w:lvl>
    <w:lvl w:ilvl="8" w:tentative="1" w:tplc="0414001B">
      <w:start w:val="1"/>
      <w:numFmt w:val="lowerRoman"/>
      <w:lvlText w:val="%9."/>
      <w:lvlJc w:val="right"/>
      <w:pPr>
        <w:ind w:hanging="180" w:left="6696"/>
      </w:pPr>
    </w:lvl>
  </w:abstractNum>
  <w:abstractNum w15:restartNumberingAfterBreak="0" w:abstractNumId="12">
    <w:nsid w:val="20AF0333"/>
    <w:multiLevelType w:val="hybridMultilevel"/>
    <w:tmpl w:val="CB0E7F4E"/>
    <w:lvl w:ilvl="0" w:tplc="E09099E0">
      <w:start w:val="1"/>
      <w:numFmt w:val="lowerLetter"/>
      <w:lvlText w:val="%1."/>
      <w:lvlJc w:val="left"/>
      <w:pPr>
        <w:tabs>
          <w:tab w:pos="720" w:val="num"/>
        </w:tabs>
        <w:ind w:hanging="360" w:left="720"/>
      </w:pPr>
      <w:rPr>
        <w:rFonts w:cs="Times New Roman" w:hint="default"/>
        <w:i w:val="0"/>
        <w:iCs w:val="0"/>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13">
    <w:nsid w:val="26FE1FCF"/>
    <w:multiLevelType w:val="hybridMultilevel"/>
    <w:tmpl w:val="33826962"/>
    <w:lvl w:ilvl="0" w:tplc="A2947960">
      <w:start w:val="1"/>
      <w:numFmt w:val="decimal"/>
      <w:pStyle w:val="footnote"/>
      <w:lvlText w:val="%1 "/>
      <w:lvlJc w:val="left"/>
      <w:pPr>
        <w:tabs>
          <w:tab w:pos="648" w:val="num"/>
        </w:tabs>
        <w:ind w:firstLine="288"/>
      </w:pPr>
      <w:rPr>
        <w:rFonts w:ascii="Times New Roman" w:cs="Times New Roman" w:hAnsi="Times New Roman" w:hint="default"/>
        <w:b w:val="0"/>
        <w:bCs w:val="0"/>
        <w:i w:val="0"/>
        <w:iCs w:val="0"/>
        <w:caps w:val="0"/>
        <w:strike w:val="0"/>
        <w:dstrike w:val="0"/>
        <w:vanish w:val="0"/>
        <w:color w:val="000000"/>
        <w:sz w:val="16"/>
        <w:szCs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14">
    <w:nsid w:val="37660336"/>
    <w:multiLevelType w:val="hybridMultilevel"/>
    <w:tmpl w:val="754EAC84"/>
    <w:lvl w:ilvl="0" w:tplc="C46877EA">
      <w:start w:val="1"/>
      <w:numFmt w:val="bullet"/>
      <w:pStyle w:val="bulletlist"/>
      <w:lvlText w:val=""/>
      <w:lvlJc w:val="left"/>
      <w:pPr>
        <w:tabs>
          <w:tab w:pos="648" w:val="num"/>
        </w:tabs>
        <w:ind w:hanging="360" w:left="648"/>
      </w:pPr>
      <w:rPr>
        <w:rFonts w:ascii="Symbol" w:hAnsi="Symbol" w:hint="default"/>
      </w:rPr>
    </w:lvl>
    <w:lvl w:ilvl="1" w:tplc="04090003">
      <w:start w:val="1"/>
      <w:numFmt w:val="bullet"/>
      <w:lvlText w:val="o"/>
      <w:lvlJc w:val="left"/>
      <w:pPr>
        <w:tabs>
          <w:tab w:pos="1440" w:val="num"/>
        </w:tabs>
        <w:ind w:hanging="360" w:left="1440"/>
      </w:pPr>
      <w:rPr>
        <w:rFonts w:ascii="Courier New" w:hAnsi="Courier New" w:hint="default"/>
      </w:rPr>
    </w:lvl>
    <w:lvl w:ilvl="2" w:tplc="04090005">
      <w:start w:val="1"/>
      <w:numFmt w:val="bullet"/>
      <w:lvlText w:val=""/>
      <w:lvlJc w:val="left"/>
      <w:pPr>
        <w:tabs>
          <w:tab w:pos="2160" w:val="num"/>
        </w:tabs>
        <w:ind w:hanging="360" w:left="2160"/>
      </w:pPr>
      <w:rPr>
        <w:rFonts w:ascii="Wingdings" w:hAnsi="Wingdings" w:hint="default"/>
      </w:rPr>
    </w:lvl>
    <w:lvl w:ilvl="3" w:tplc="04090001">
      <w:start w:val="1"/>
      <w:numFmt w:val="bullet"/>
      <w:lvlText w:val=""/>
      <w:lvlJc w:val="left"/>
      <w:pPr>
        <w:tabs>
          <w:tab w:pos="2880" w:val="num"/>
        </w:tabs>
        <w:ind w:hanging="360" w:left="2880"/>
      </w:pPr>
      <w:rPr>
        <w:rFonts w:ascii="Symbol" w:hAnsi="Symbol" w:hint="default"/>
      </w:rPr>
    </w:lvl>
    <w:lvl w:ilvl="4" w:tplc="04090003">
      <w:start w:val="1"/>
      <w:numFmt w:val="bullet"/>
      <w:lvlText w:val="o"/>
      <w:lvlJc w:val="left"/>
      <w:pPr>
        <w:tabs>
          <w:tab w:pos="3600" w:val="num"/>
        </w:tabs>
        <w:ind w:hanging="360" w:left="3600"/>
      </w:pPr>
      <w:rPr>
        <w:rFonts w:ascii="Courier New" w:hAnsi="Courier New" w:hint="default"/>
      </w:rPr>
    </w:lvl>
    <w:lvl w:ilvl="5" w:tplc="04090005">
      <w:start w:val="1"/>
      <w:numFmt w:val="bullet"/>
      <w:lvlText w:val=""/>
      <w:lvlJc w:val="left"/>
      <w:pPr>
        <w:tabs>
          <w:tab w:pos="4320" w:val="num"/>
        </w:tabs>
        <w:ind w:hanging="360" w:left="4320"/>
      </w:pPr>
      <w:rPr>
        <w:rFonts w:ascii="Wingdings" w:hAnsi="Wingdings" w:hint="default"/>
      </w:rPr>
    </w:lvl>
    <w:lvl w:ilvl="6" w:tplc="04090001">
      <w:start w:val="1"/>
      <w:numFmt w:val="bullet"/>
      <w:lvlText w:val=""/>
      <w:lvlJc w:val="left"/>
      <w:pPr>
        <w:tabs>
          <w:tab w:pos="5040" w:val="num"/>
        </w:tabs>
        <w:ind w:hanging="360" w:left="5040"/>
      </w:pPr>
      <w:rPr>
        <w:rFonts w:ascii="Symbol" w:hAnsi="Symbol" w:hint="default"/>
      </w:rPr>
    </w:lvl>
    <w:lvl w:ilvl="7" w:tplc="04090003">
      <w:start w:val="1"/>
      <w:numFmt w:val="bullet"/>
      <w:lvlText w:val="o"/>
      <w:lvlJc w:val="left"/>
      <w:pPr>
        <w:tabs>
          <w:tab w:pos="5760" w:val="num"/>
        </w:tabs>
        <w:ind w:hanging="360" w:left="5760"/>
      </w:pPr>
      <w:rPr>
        <w:rFonts w:ascii="Courier New" w:hAnsi="Courier New" w:hint="default"/>
      </w:rPr>
    </w:lvl>
    <w:lvl w:ilvl="8"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5">
    <w:nsid w:val="39E54FC6"/>
    <w:multiLevelType w:val="singleLevel"/>
    <w:tmpl w:val="5B7288D4"/>
    <w:lvl w:ilvl="0">
      <w:start w:val="14"/>
      <w:numFmt w:val="decimal"/>
      <w:lvlText w:val="%1"/>
      <w:lvlJc w:val="left"/>
      <w:pPr>
        <w:tabs>
          <w:tab w:pos="720" w:val="num"/>
        </w:tabs>
        <w:ind w:hanging="360" w:left="720"/>
      </w:pPr>
      <w:rPr>
        <w:rFonts w:cs="Times New Roman" w:hint="default"/>
      </w:rPr>
    </w:lvl>
  </w:abstractNum>
  <w:abstractNum w15:restartNumberingAfterBreak="0" w:abstractNumId="16">
    <w:nsid w:val="4189603E"/>
    <w:multiLevelType w:val="multilevel"/>
    <w:tmpl w:val="0AB06E12"/>
    <w:lvl w:ilvl="0">
      <w:start w:val="1"/>
      <w:numFmt w:val="upperRoman"/>
      <w:pStyle w:val="Heading1"/>
      <w:lvlText w:val="%1."/>
      <w:lvlJc w:val="center"/>
      <w:pPr>
        <w:tabs>
          <w:tab w:pos="576" w:val="num"/>
        </w:tabs>
        <w:ind w:firstLine="216"/>
      </w:pPr>
      <w:rPr>
        <w:rFonts w:ascii="Times New Roman" w:cs="Times New Roman" w:hAnsi="Times New Roman" w:hint="default"/>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1">
      <w:start w:val="1"/>
      <w:numFmt w:val="upperLetter"/>
      <w:pStyle w:val="Heading2"/>
      <w:lvlText w:val="%2."/>
      <w:lvlJc w:val="left"/>
      <w:pPr>
        <w:tabs>
          <w:tab w:pos="360" w:val="num"/>
        </w:tabs>
        <w:ind w:hanging="288" w:left="288"/>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2">
      <w:start w:val="1"/>
      <w:numFmt w:val="decimal"/>
      <w:pStyle w:val="Heading3"/>
      <w:lvlText w:val="%3)"/>
      <w:lvlJc w:val="left"/>
      <w:pPr>
        <w:tabs>
          <w:tab w:pos="540" w:val="num"/>
        </w:tabs>
        <w:ind w:firstLine="180"/>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3">
      <w:start w:val="1"/>
      <w:numFmt w:val="lowerLetter"/>
      <w:pStyle w:val="Heading4"/>
      <w:lvlText w:val="%4)"/>
      <w:lvlJc w:val="left"/>
      <w:pPr>
        <w:tabs>
          <w:tab w:pos="630" w:val="num"/>
        </w:tabs>
        <w:ind w:firstLine="360"/>
      </w:pPr>
      <w:rPr>
        <w:rFonts w:ascii="Times New Roman" w:cs="Times New Roman" w:hAnsi="Times New Roman" w:hint="default"/>
        <w:b w:val="0"/>
        <w:bCs w:val="0"/>
        <w:i/>
        <w:iCs/>
        <w:sz w:val="20"/>
        <w:szCs w:val="20"/>
      </w:rPr>
    </w:lvl>
    <w:lvl w:ilvl="4">
      <w:start w:val="1"/>
      <w:numFmt w:val="none"/>
      <w:lvlRestart w:val="0"/>
      <w:lvlText w:val=""/>
      <w:lvlJc w:val="left"/>
      <w:pPr>
        <w:tabs>
          <w:tab w:pos="3240" w:val="num"/>
        </w:tabs>
        <w:ind w:left="2880"/>
      </w:pPr>
      <w:rPr>
        <w:rFonts w:cs="Times New Roman" w:hint="default"/>
      </w:rPr>
    </w:lvl>
    <w:lvl w:ilvl="5">
      <w:start w:val="1"/>
      <w:numFmt w:val="lowerLetter"/>
      <w:lvlText w:val="(%6)"/>
      <w:lvlJc w:val="left"/>
      <w:pPr>
        <w:tabs>
          <w:tab w:pos="3960" w:val="num"/>
        </w:tabs>
        <w:ind w:left="3600"/>
      </w:pPr>
      <w:rPr>
        <w:rFonts w:cs="Times New Roman" w:hint="default"/>
      </w:rPr>
    </w:lvl>
    <w:lvl w:ilvl="6">
      <w:start w:val="1"/>
      <w:numFmt w:val="lowerRoman"/>
      <w:lvlText w:val="(%7)"/>
      <w:lvlJc w:val="left"/>
      <w:pPr>
        <w:tabs>
          <w:tab w:pos="4680" w:val="num"/>
        </w:tabs>
        <w:ind w:left="4320"/>
      </w:pPr>
      <w:rPr>
        <w:rFonts w:cs="Times New Roman" w:hint="default"/>
      </w:rPr>
    </w:lvl>
    <w:lvl w:ilvl="7">
      <w:start w:val="1"/>
      <w:numFmt w:val="lowerLetter"/>
      <w:lvlText w:val="(%8)"/>
      <w:lvlJc w:val="left"/>
      <w:pPr>
        <w:tabs>
          <w:tab w:pos="5400" w:val="num"/>
        </w:tabs>
        <w:ind w:left="5040"/>
      </w:pPr>
      <w:rPr>
        <w:rFonts w:cs="Times New Roman" w:hint="default"/>
      </w:rPr>
    </w:lvl>
    <w:lvl w:ilvl="8">
      <w:start w:val="1"/>
      <w:numFmt w:val="lowerRoman"/>
      <w:lvlText w:val="(%9)"/>
      <w:lvlJc w:val="left"/>
      <w:pPr>
        <w:tabs>
          <w:tab w:pos="6120" w:val="num"/>
        </w:tabs>
        <w:ind w:left="5760"/>
      </w:pPr>
      <w:rPr>
        <w:rFonts w:cs="Times New Roman" w:hint="default"/>
      </w:rPr>
    </w:lvl>
  </w:abstractNum>
  <w:abstractNum w15:restartNumberingAfterBreak="0" w:abstractNumId="17">
    <w:nsid w:val="493C3F76"/>
    <w:multiLevelType w:val="hybridMultilevel"/>
    <w:tmpl w:val="9A9E418C"/>
    <w:lvl w:ilvl="0" w:tplc="2C18EFA4">
      <w:start w:val="1"/>
      <w:numFmt w:val="lowerLetter"/>
      <w:pStyle w:val="tablefootnote"/>
      <w:lvlText w:val="%1."/>
      <w:lvlJc w:val="right"/>
      <w:pPr>
        <w:ind w:hanging="360" w:left="418"/>
      </w:pPr>
      <w:rPr>
        <w:rFonts w:ascii="Times New Roman" w:hAnsi="Times New Roman" w:hint="default"/>
        <w:b w:val="0"/>
        <w:i w:val="0"/>
        <w:caps w:val="0"/>
        <w:strike w:val="0"/>
        <w:dstrike w:val="0"/>
        <w:vanish w:val="0"/>
        <w:color w:val="auto"/>
        <w:spacing w:val="0"/>
        <w:w w:val="100"/>
        <w:kern w:val="0"/>
        <w:position w:val="0"/>
        <w:sz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2CA544A"/>
    <w:multiLevelType w:val="singleLevel"/>
    <w:tmpl w:val="AED6D67E"/>
    <w:lvl w:ilvl="0">
      <w:start w:val="1"/>
      <w:numFmt w:val="decimal"/>
      <w:pStyle w:val="references"/>
      <w:lvlText w:val="[%1]"/>
      <w:lvlJc w:val="left"/>
      <w:pPr>
        <w:tabs>
          <w:tab w:pos="360" w:val="num"/>
        </w:tabs>
        <w:ind w:hanging="360" w:left="360"/>
      </w:pPr>
      <w:rPr>
        <w:rFonts w:ascii="Times New Roman" w:cs="Times New Roman" w:hAnsi="Times New Roman" w:hint="default"/>
        <w:b w:val="0"/>
        <w:bCs w:val="0"/>
        <w:i w:val="0"/>
        <w:iCs w:val="0"/>
        <w:sz w:val="16"/>
        <w:szCs w:val="16"/>
      </w:rPr>
    </w:lvl>
  </w:abstractNum>
  <w:abstractNum w15:restartNumberingAfterBreak="0" w:abstractNumId="19">
    <w:nsid w:val="6C402C58"/>
    <w:multiLevelType w:val="hybridMultilevel"/>
    <w:tmpl w:val="9A1CA078"/>
    <w:lvl w:ilvl="0" w:tplc="C8D6570A">
      <w:start w:val="1"/>
      <w:numFmt w:val="decimal"/>
      <w:pStyle w:val="figurecaption"/>
      <w:lvlText w:val="Fig. %1."/>
      <w:lvlJc w:val="left"/>
      <w:pPr>
        <w:ind w:hanging="360" w:left="360"/>
      </w:pPr>
      <w:rPr>
        <w:rFonts w:ascii="Times New Roman" w:cs="Times New Roman" w:hAnsi="Times New Roman" w:hint="default"/>
        <w:b w:val="0"/>
        <w:bCs w:val="0"/>
        <w:i w:val="0"/>
        <w:iCs w:val="0"/>
        <w:color w:val="auto"/>
        <w:sz w:val="16"/>
        <w:szCs w:val="16"/>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20">
    <w:nsid w:val="6CD32DA8"/>
    <w:multiLevelType w:val="singleLevel"/>
    <w:tmpl w:val="166470C2"/>
    <w:lvl w:ilvl="0">
      <w:start w:val="1"/>
      <w:numFmt w:val="upperRoman"/>
      <w:pStyle w:val="tablehead"/>
      <w:lvlText w:val="TABLE %1. "/>
      <w:lvlJc w:val="left"/>
      <w:pPr>
        <w:tabs>
          <w:tab w:pos="1080" w:val="num"/>
        </w:tabs>
      </w:pPr>
      <w:rPr>
        <w:rFonts w:ascii="Times New Roman" w:cs="Times New Roman" w:hAnsi="Times New Roman" w:hint="default"/>
        <w:b w:val="0"/>
        <w:bCs w:val="0"/>
        <w:i w:val="0"/>
        <w:iCs w:val="0"/>
        <w:sz w:val="16"/>
        <w:szCs w:val="16"/>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40377641" w:numId="1">
    <w:abstractNumId w:val="14"/>
  </w:num>
  <w:num w16cid:durableId="1397439891" w:numId="2">
    <w:abstractNumId w:val="19"/>
  </w:num>
  <w:num w16cid:durableId="539585121" w:numId="3">
    <w:abstractNumId w:val="13"/>
  </w:num>
  <w:num w16cid:durableId="1505513160" w:numId="4">
    <w:abstractNumId w:val="16"/>
  </w:num>
  <w:num w16cid:durableId="978925957" w:numId="5">
    <w:abstractNumId w:val="16"/>
  </w:num>
  <w:num w16cid:durableId="1721400726" w:numId="6">
    <w:abstractNumId w:val="16"/>
  </w:num>
  <w:num w16cid:durableId="687826470" w:numId="7">
    <w:abstractNumId w:val="16"/>
  </w:num>
  <w:num w16cid:durableId="143812469" w:numId="8">
    <w:abstractNumId w:val="18"/>
  </w:num>
  <w:num w16cid:durableId="1364867722" w:numId="9">
    <w:abstractNumId w:val="20"/>
  </w:num>
  <w:num w16cid:durableId="2029989048" w:numId="10">
    <w:abstractNumId w:val="15"/>
  </w:num>
  <w:num w16cid:durableId="642739898" w:numId="11">
    <w:abstractNumId w:val="12"/>
  </w:num>
  <w:num w16cid:durableId="1272741182" w:numId="12">
    <w:abstractNumId w:val="11"/>
  </w:num>
  <w:num w16cid:durableId="851069540" w:numId="13">
    <w:abstractNumId w:val="0"/>
  </w:num>
  <w:num w16cid:durableId="529344390" w:numId="14">
    <w:abstractNumId w:val="10"/>
  </w:num>
  <w:num w16cid:durableId="894972538" w:numId="15">
    <w:abstractNumId w:val="8"/>
  </w:num>
  <w:num w16cid:durableId="1023093075" w:numId="16">
    <w:abstractNumId w:val="7"/>
  </w:num>
  <w:num w16cid:durableId="1951620780" w:numId="17">
    <w:abstractNumId w:val="6"/>
  </w:num>
  <w:num w16cid:durableId="1765606468" w:numId="18">
    <w:abstractNumId w:val="5"/>
  </w:num>
  <w:num w16cid:durableId="409623909" w:numId="19">
    <w:abstractNumId w:val="9"/>
  </w:num>
  <w:num w16cid:durableId="1936084648" w:numId="20">
    <w:abstractNumId w:val="4"/>
  </w:num>
  <w:num w16cid:durableId="146483437" w:numId="21">
    <w:abstractNumId w:val="3"/>
  </w:num>
  <w:num w16cid:durableId="1467505995" w:numId="22">
    <w:abstractNumId w:val="2"/>
  </w:num>
  <w:num w16cid:durableId="1408696933" w:numId="23">
    <w:abstractNumId w:val="1"/>
  </w:num>
  <w:num w16cid:durableId="1366640472" w:numId="24">
    <w:abstractNumId w:val="17"/>
  </w:num>
  <w:num w16cid:durableId="1917282883" w:numId="25">
    <w:abstractNumId w:val="18"/>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oNotHyphenateCaps/>
  <w:drawingGridHorizontalSpacing w:val="360"/>
  <w:drawingGridVerticalSpacing w:val="360"/>
  <w:displayHorizontalDrawingGridEvery w:val="0"/>
  <w:displayVerticalDrawingGridEvery w:val="0"/>
  <w:characterSpacingControl w:val="doNotCompress"/>
  <w:savePreviewPicture/>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74903"/>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D54F6"/>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1CCC"/>
    <w:rsid w:val="00D632BE"/>
    <w:rsid w:val="00D72D06"/>
    <w:rsid w:val="00D7522C"/>
    <w:rsid w:val="00D7536F"/>
    <w:rsid w:val="00D76668"/>
    <w:rsid w:val="00D81CDC"/>
    <w:rsid w:val="00E41015"/>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SimSun" w:hAnsi="Times New Roman"/>
        <w:lang w:bidi="ar-SA" w:eastAsia="en-US" w:val="en-GB"/>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after="120"/>
      <w:ind w:firstLine="288"/>
      <w:jc w:val="both"/>
    </w:pPr>
  </w:style>
  <w:style w:styleId="Heading1" w:type="paragraph">
    <w:name w:val="heading 1"/>
    <w:basedOn w:val="Normal"/>
    <w:next w:val="Normal"/>
    <w:qFormat/>
    <w:rsid w:val="006B6B66"/>
    <w:pPr>
      <w:keepNext/>
      <w:keepLines/>
      <w:numPr>
        <w:numId w:val="4"/>
      </w:numPr>
      <w:tabs>
        <w:tab w:pos="216" w:val="left"/>
      </w:tabs>
      <w:spacing w:after="80" w:before="160"/>
      <w:ind w:firstLine="0"/>
      <w:outlineLvl w:val="0"/>
    </w:pPr>
    <w:rPr>
      <w:smallCaps/>
      <w:noProof/>
    </w:rPr>
  </w:style>
  <w:style w:styleId="Heading2" w:type="paragraph">
    <w:name w:val="heading 2"/>
    <w:basedOn w:val="Normal"/>
    <w:next w:val="Normal"/>
    <w:qFormat/>
    <w:rsid w:val="00ED0149"/>
    <w:pPr>
      <w:keepNext/>
      <w:keepLines/>
      <w:numPr>
        <w:ilvl w:val="1"/>
        <w:numId w:val="4"/>
      </w:numPr>
      <w:tabs>
        <w:tab w:pos="360" w:val="clear"/>
        <w:tab w:pos="288" w:val="num"/>
      </w:tabs>
      <w:spacing w:after="60" w:before="120"/>
      <w:jc w:val="left"/>
      <w:outlineLvl w:val="1"/>
    </w:pPr>
    <w:rPr>
      <w:i/>
      <w:iCs/>
      <w:noProof/>
    </w:rPr>
  </w:style>
  <w:style w:styleId="Heading3" w:type="paragraph">
    <w:name w:val="heading 3"/>
    <w:basedOn w:val="Normal"/>
    <w:next w:val="Normal"/>
    <w:qFormat/>
    <w:rsid w:val="00794804"/>
    <w:pPr>
      <w:numPr>
        <w:ilvl w:val="2"/>
        <w:numId w:val="4"/>
      </w:numPr>
      <w:spacing w:line="240" w:lineRule="exact"/>
      <w:ind w:firstLine="288"/>
      <w:outlineLvl w:val="2"/>
    </w:pPr>
    <w:rPr>
      <w:i/>
      <w:iCs/>
      <w:noProof/>
    </w:rPr>
  </w:style>
  <w:style w:styleId="Heading4" w:type="paragraph">
    <w:name w:val="heading 4"/>
    <w:basedOn w:val="Normal"/>
    <w:next w:val="Normal"/>
    <w:qFormat/>
    <w:rsid w:val="00794804"/>
    <w:pPr>
      <w:numPr>
        <w:ilvl w:val="3"/>
        <w:numId w:val="4"/>
      </w:numPr>
      <w:tabs>
        <w:tab w:pos="630" w:val="clear"/>
        <w:tab w:pos="720" w:val="left"/>
      </w:tabs>
      <w:spacing w:after="40" w:before="40"/>
      <w:ind w:firstLine="504"/>
      <w:outlineLvl w:val="3"/>
    </w:pPr>
    <w:rPr>
      <w:i/>
      <w:iCs/>
      <w:noProof/>
    </w:rPr>
  </w:style>
  <w:style w:styleId="Heading5" w:type="paragraph">
    <w:name w:val="heading 5"/>
    <w:basedOn w:val="Normal"/>
    <w:next w:val="Normal"/>
    <w:qFormat/>
    <w:pPr>
      <w:tabs>
        <w:tab w:pos="360" w:val="left"/>
      </w:tabs>
      <w:spacing w:after="80" w:before="160"/>
      <w:outlineLvl w:val="4"/>
    </w:pPr>
    <w:rPr>
      <w:smallCaps/>
      <w:noProof/>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Abstract" w:type="paragraph">
    <w:name w:val="Abstract"/>
    <w:rsid w:val="00972203"/>
    <w:pPr>
      <w:spacing w:after="200"/>
      <w:ind w:firstLine="272"/>
      <w:jc w:val="both"/>
    </w:pPr>
    <w:rPr>
      <w:b/>
      <w:bCs/>
      <w:sz w:val="18"/>
      <w:szCs w:val="18"/>
    </w:rPr>
  </w:style>
  <w:style w:customStyle="1" w:styleId="Affiliation" w:type="paragraph">
    <w:name w:val="Affiliation"/>
    <w:pPr>
      <w:jc w:val="center"/>
    </w:pPr>
  </w:style>
  <w:style w:customStyle="1" w:styleId="Author" w:type="paragraph">
    <w:name w:val="Author"/>
    <w:pPr>
      <w:spacing w:after="40" w:before="360"/>
      <w:jc w:val="center"/>
    </w:pPr>
    <w:rPr>
      <w:noProof/>
      <w:sz w:val="22"/>
      <w:szCs w:val="22"/>
    </w:rPr>
  </w:style>
  <w:style w:styleId="BodyText" w:type="paragraph">
    <w:name w:val="Body Text"/>
    <w:basedOn w:val="Normal"/>
    <w:link w:val="BodyTextChar"/>
    <w:rsid w:val="00E7596C"/>
    <w:pPr>
      <w:tabs>
        <w:tab w:pos="288" w:val="left"/>
      </w:tabs>
      <w:spacing w:line="228" w:lineRule="auto"/>
    </w:pPr>
    <w:rPr>
      <w:spacing w:val="-1"/>
      <w:lang w:eastAsia="x-none" w:val="x-none"/>
    </w:rPr>
  </w:style>
  <w:style w:customStyle="1" w:styleId="BodyTextChar" w:type="character">
    <w:name w:val="Body Text Char"/>
    <w:link w:val="BodyText"/>
    <w:rsid w:val="00E7596C"/>
    <w:rPr>
      <w:spacing w:val="-1"/>
      <w:lang w:eastAsia="x-none" w:val="x-none"/>
    </w:rPr>
  </w:style>
  <w:style w:customStyle="1" w:styleId="bulletlist" w:type="paragraph">
    <w:name w:val="bullet list"/>
    <w:basedOn w:val="BodyText"/>
    <w:rsid w:val="001B67DC"/>
    <w:pPr>
      <w:numPr>
        <w:numId w:val="1"/>
      </w:numPr>
      <w:tabs>
        <w:tab w:pos="648" w:val="clear"/>
      </w:tabs>
      <w:ind w:hanging="288" w:left="576"/>
    </w:pPr>
  </w:style>
  <w:style w:customStyle="1" w:styleId="equation" w:type="paragraph">
    <w:name w:val="equation"/>
    <w:basedOn w:val="Normal"/>
    <w:rsid w:val="008A2C7D"/>
    <w:pPr>
      <w:tabs>
        <w:tab w:pos="2520" w:val="center"/>
        <w:tab w:pos="5040" w:val="right"/>
      </w:tabs>
      <w:spacing w:after="240" w:before="240" w:line="216" w:lineRule="auto"/>
    </w:pPr>
    <w:rPr>
      <w:rFonts w:ascii="Symbol" w:cs="Symbol" w:hAnsi="Symbol"/>
    </w:rPr>
  </w:style>
  <w:style w:customStyle="1" w:styleId="figurecaption" w:type="paragraph">
    <w:name w:val="figure caption"/>
    <w:rsid w:val="005B0344"/>
    <w:pPr>
      <w:numPr>
        <w:numId w:val="2"/>
      </w:numPr>
      <w:tabs>
        <w:tab w:pos="533" w:val="left"/>
      </w:tabs>
      <w:spacing w:after="200" w:before="80"/>
      <w:ind w:firstLine="0" w:left="0"/>
      <w:jc w:val="both"/>
    </w:pPr>
    <w:rPr>
      <w:noProof/>
      <w:sz w:val="16"/>
      <w:szCs w:val="16"/>
    </w:rPr>
  </w:style>
  <w:style w:customStyle="1" w:styleId="footnote" w:type="paragraph">
    <w:name w:val="footnote"/>
    <w:pPr>
      <w:framePr w:hAnchor="page" w:hSpace="187" w:vAnchor="text" w:vSpace="187" w:wrap="notBeside" w:x="6121" w:y="577"/>
      <w:numPr>
        <w:numId w:val="3"/>
      </w:numPr>
      <w:spacing w:after="40"/>
    </w:pPr>
    <w:rPr>
      <w:sz w:val="16"/>
      <w:szCs w:val="16"/>
    </w:rPr>
  </w:style>
  <w:style w:customStyle="1" w:styleId="papersubtitle" w:type="paragraph">
    <w:name w:val="paper subtitle"/>
    <w:pPr>
      <w:spacing w:after="120"/>
      <w:jc w:val="center"/>
    </w:pPr>
    <w:rPr>
      <w:rFonts w:eastAsia="MS Mincho"/>
      <w:noProof/>
      <w:sz w:val="28"/>
      <w:szCs w:val="28"/>
    </w:rPr>
  </w:style>
  <w:style w:customStyle="1" w:styleId="papertitle" w:type="paragraph">
    <w:name w:val="paper title"/>
    <w:link w:val="papertitleChar"/>
    <w:pPr>
      <w:spacing w:after="120"/>
      <w:jc w:val="center"/>
    </w:pPr>
    <w:rPr>
      <w:rFonts w:eastAsia="MS Mincho"/>
      <w:noProof/>
      <w:sz w:val="48"/>
      <w:szCs w:val="48"/>
    </w:rPr>
  </w:style>
  <w:style w:customStyle="1" w:styleId="references" w:type="paragraph">
    <w:name w:val="references"/>
    <w:pPr>
      <w:numPr>
        <w:numId w:val="8"/>
      </w:numPr>
      <w:spacing w:after="50" w:line="180" w:lineRule="exact"/>
      <w:jc w:val="both"/>
    </w:pPr>
    <w:rPr>
      <w:rFonts w:eastAsia="MS Mincho"/>
      <w:noProof/>
      <w:sz w:val="16"/>
      <w:szCs w:val="16"/>
    </w:rPr>
  </w:style>
  <w:style w:customStyle="1" w:styleId="sponsors" w:type="paragraph">
    <w:name w:val="sponsors"/>
    <w:pPr>
      <w:framePr w:hAnchor="text" w:wrap="auto" w:x="615" w:y="2239"/>
      <w:pBdr>
        <w:top w:color="auto" w:space="2" w:sz="4" w:val="single"/>
      </w:pBdr>
      <w:ind w:firstLine="288"/>
    </w:pPr>
    <w:rPr>
      <w:sz w:val="16"/>
      <w:szCs w:val="16"/>
    </w:rPr>
  </w:style>
  <w:style w:customStyle="1" w:styleId="tablecolhead" w:type="paragraph">
    <w:name w:val="table col head"/>
    <w:basedOn w:val="Normal"/>
    <w:rPr>
      <w:b/>
      <w:bCs/>
      <w:sz w:val="16"/>
      <w:szCs w:val="16"/>
    </w:rPr>
  </w:style>
  <w:style w:customStyle="1" w:styleId="tablecolsubhead" w:type="paragraph">
    <w:name w:val="table col subhead"/>
    <w:basedOn w:val="tablecolhead"/>
    <w:rPr>
      <w:i/>
      <w:iCs/>
      <w:sz w:val="15"/>
      <w:szCs w:val="15"/>
    </w:rPr>
  </w:style>
  <w:style w:customStyle="1" w:styleId="tablecopy" w:type="paragraph">
    <w:name w:val="table copy"/>
    <w:pPr>
      <w:jc w:val="both"/>
    </w:pPr>
    <w:rPr>
      <w:noProof/>
      <w:sz w:val="16"/>
      <w:szCs w:val="16"/>
    </w:rPr>
  </w:style>
  <w:style w:customStyle="1" w:styleId="tablefootnote" w:type="paragraph">
    <w:name w:val="table footnote"/>
    <w:rsid w:val="005E2800"/>
    <w:pPr>
      <w:numPr>
        <w:numId w:val="24"/>
      </w:numPr>
      <w:spacing w:after="30" w:before="60"/>
      <w:ind w:hanging="29" w:left="58"/>
      <w:jc w:val="right"/>
    </w:pPr>
    <w:rPr>
      <w:sz w:val="12"/>
      <w:szCs w:val="12"/>
    </w:rPr>
  </w:style>
  <w:style w:customStyle="1" w:styleId="tablehead" w:type="paragraph">
    <w:name w:val="table head"/>
    <w:pPr>
      <w:numPr>
        <w:numId w:val="9"/>
      </w:numPr>
      <w:spacing w:after="120" w:before="240" w:line="216" w:lineRule="auto"/>
      <w:jc w:val="center"/>
    </w:pPr>
    <w:rPr>
      <w:smallCaps/>
      <w:noProof/>
      <w:sz w:val="16"/>
      <w:szCs w:val="16"/>
    </w:rPr>
  </w:style>
  <w:style w:customStyle="1" w:styleId="Keywords" w:type="paragraph">
    <w:name w:val="Keywords"/>
    <w:basedOn w:val="Abstract"/>
    <w:qFormat/>
    <w:rsid w:val="00F9441B"/>
    <w:pPr>
      <w:spacing w:after="120"/>
      <w:ind w:firstLine="274"/>
    </w:pPr>
    <w:rPr>
      <w:i/>
    </w:rPr>
  </w:style>
  <w:style w:styleId="Header" w:type="paragraph">
    <w:name w:val="header"/>
    <w:basedOn w:val="Normal"/>
    <w:link w:val="HeaderChar"/>
    <w:rsid w:val="001A3B3D"/>
    <w:pPr>
      <w:tabs>
        <w:tab w:pos="4680" w:val="center"/>
        <w:tab w:pos="9360" w:val="right"/>
      </w:tabs>
    </w:pPr>
  </w:style>
  <w:style w:customStyle="1" w:styleId="HeaderChar" w:type="character">
    <w:name w:val="Header Char"/>
    <w:basedOn w:val="DefaultParagraphFont"/>
    <w:link w:val="Header"/>
    <w:rsid w:val="001A3B3D"/>
  </w:style>
  <w:style w:styleId="Footer" w:type="paragraph">
    <w:name w:val="footer"/>
    <w:basedOn w:val="Normal"/>
    <w:link w:val="FooterChar"/>
    <w:rsid w:val="001A3B3D"/>
    <w:pPr>
      <w:tabs>
        <w:tab w:pos="4680" w:val="center"/>
        <w:tab w:pos="9360" w:val="right"/>
      </w:tabs>
    </w:pPr>
  </w:style>
  <w:style w:customStyle="1" w:styleId="FooterChar" w:type="character">
    <w:name w:val="Footer Char"/>
    <w:basedOn w:val="DefaultParagraphFont"/>
    <w:link w:val="Footer"/>
    <w:rsid w:val="001A3B3D"/>
  </w:style>
  <w:style w:styleId="Hyperlink" w:type="character">
    <w:name w:val="Hyperlink"/>
    <w:basedOn w:val="DefaultParagraphFont"/>
    <w:rsid w:val="00156B74"/>
    <w:rPr>
      <w:color w:themeColor="hyperlink" w:val="0563C1"/>
      <w:u w:val="single"/>
    </w:rPr>
  </w:style>
  <w:style w:styleId="UnresolvedMention" w:type="character">
    <w:name w:val="Unresolved Mention"/>
    <w:basedOn w:val="DefaultParagraphFont"/>
    <w:uiPriority w:val="99"/>
    <w:semiHidden/>
    <w:unhideWhenUsed/>
    <w:rsid w:val="00156B74"/>
    <w:rPr>
      <w:color w:val="605E5C"/>
      <w:shd w:color="auto" w:fill="E1DFDD" w:val="clear"/>
    </w:rPr>
  </w:style>
  <w:style w:styleId="Title" w:type="paragraph">
    <w:name w:val="Title"/>
    <w:basedOn w:val="Normal"/>
    <w:next w:val="Normal"/>
    <w:link w:val="TitleChar"/>
    <w:qFormat/>
    <w:rsid w:val="00E41015"/>
    <w:pPr>
      <w:contextualSpacing/>
      <w:jc w:val="center"/>
    </w:pPr>
    <w:rPr>
      <w:rFonts w:eastAsiaTheme="majorEastAsia"/>
      <w:spacing w:val="-10"/>
      <w:kern w:val="28"/>
      <w:sz w:val="48"/>
      <w:szCs w:val="56"/>
    </w:rPr>
  </w:style>
  <w:style w:customStyle="1" w:styleId="TitleChar" w:type="character">
    <w:name w:val="Title Char"/>
    <w:basedOn w:val="DefaultParagraphFont"/>
    <w:link w:val="Title"/>
    <w:rsid w:val="00E41015"/>
    <w:rPr>
      <w:rFonts w:eastAsiaTheme="majorEastAsia"/>
      <w:spacing w:val="-10"/>
      <w:kern w:val="28"/>
      <w:sz w:val="48"/>
      <w:szCs w:val="56"/>
    </w:rPr>
  </w:style>
  <w:style w:styleId="Caption" w:type="paragraph">
    <w:name w:val="caption"/>
    <w:basedOn w:val="Normal"/>
    <w:next w:val="Normal"/>
    <w:semiHidden/>
    <w:unhideWhenUsed/>
    <w:qFormat/>
    <w:rsid w:val="00E41015"/>
    <w:pPr>
      <w:spacing w:after="200" w:before="80"/>
    </w:pPr>
    <w:rPr>
      <w:iCs/>
      <w:color w:themeColor="text2" w:val="44546A"/>
      <w:sz w:val="16"/>
      <w:szCs w:val="18"/>
    </w:rPr>
  </w:style>
  <w:style w:customStyle="1" w:styleId="SourceCode" w:type="paragraph">
    <w:name w:val="Source Code"/>
    <w:basedOn w:val="papertitle"/>
    <w:link w:val="SourceCodeChar"/>
    <w:rsid w:val="00E41015"/>
    <w:pPr>
      <w:spacing w:after="0" w:afterAutospacing="1" w:beforeAutospacing="1"/>
      <w:jc w:val="left"/>
    </w:pPr>
    <w:rPr>
      <w:rFonts w:ascii="Courier New" w:cs="Courier New" w:hAnsi="Courier New"/>
      <w:sz w:val="14"/>
    </w:rPr>
  </w:style>
  <w:style w:customStyle="1" w:styleId="papertitleChar" w:type="character">
    <w:name w:val="paper title Char"/>
    <w:basedOn w:val="DefaultParagraphFont"/>
    <w:link w:val="papertitle"/>
    <w:rsid w:val="00E41015"/>
    <w:rPr>
      <w:rFonts w:eastAsia="MS Mincho"/>
      <w:noProof/>
      <w:sz w:val="48"/>
      <w:szCs w:val="48"/>
    </w:rPr>
  </w:style>
  <w:style w:customStyle="1" w:styleId="SourceCodeChar" w:type="character">
    <w:name w:val="Source Code Char"/>
    <w:basedOn w:val="papertitleChar"/>
    <w:link w:val="SourceCode"/>
    <w:rsid w:val="00E41015"/>
    <w:rPr>
      <w:rFonts w:ascii="Courier New" w:cs="Courier New" w:eastAsia="MS Mincho" w:hAnsi="Courier New"/>
      <w:noProof/>
      <w:sz w:val="14"/>
      <w:szCs w:val="48"/>
    </w:rPr>
  </w:style>
  <w:style w:customStyle="1" w:styleId="Table" w:type="table">
    <w:name w:val="Table"/>
    <w:basedOn w:val="TableNormal"/>
    <w:rsid w:val="00E41015"/>
    <w:rPr>
      <w:sz w:val="16"/>
    </w:rPr>
    <w:tblPr/>
  </w:style>
  <w:style w:styleId="Bibliography" w:type="paragraph">
    <w:name w:val="Bibliography"/>
    <w:basedOn w:val="Normal"/>
    <w:next w:val="Normal"/>
    <w:uiPriority w:val="37"/>
    <w:semiHidden/>
    <w:unhideWhenUsed/>
    <w:rsid w:val="00E41015"/>
    <w:pPr>
      <w:spacing w:after="50"/>
      <w:ind w:firstLine="0"/>
    </w:pPr>
    <w:rPr>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39" Target="media/rId39.png" /><Relationship Type="http://schemas.openxmlformats.org/officeDocument/2006/relationships/image" Id="rId26" Target="media/rId26.png" /><Relationship Type="http://schemas.openxmlformats.org/officeDocument/2006/relationships/image" Id="rId23" Target="media/rId23.png" /><Relationship Type="http://schemas.openxmlformats.org/officeDocument/2006/relationships/hyperlink" Id="rId33" Target="https://otexts.com/fpp3/" TargetMode="External" /><Relationship Type="http://schemas.openxmlformats.org/officeDocument/2006/relationships/hyperlink" Id="rId35" Target="https://pkg.robjhyndman.com/forecast/reference/residuals.forecast.html" TargetMode="External" /><Relationship Type="http://schemas.openxmlformats.org/officeDocument/2006/relationships/hyperlink" Id="rId31" Target="https://power.larc.nasa.gov/docs/services/api/temporal/monthly/" TargetMode="External" /></Relationships>
</file>

<file path=word/_rels/footnotes.xml.rels><?xml version="1.0" encoding="UTF-8"?><Relationships xmlns="http://schemas.openxmlformats.org/package/2006/relationships"><Relationship Type="http://schemas.openxmlformats.org/officeDocument/2006/relationships/hyperlink" Id="rId33" Target="https://otexts.com/fpp3/" TargetMode="External" /><Relationship Type="http://schemas.openxmlformats.org/officeDocument/2006/relationships/hyperlink" Id="rId35" Target="https://pkg.robjhyndman.com/forecast/reference/residuals.forecast.html" TargetMode="External" /><Relationship Type="http://schemas.openxmlformats.org/officeDocument/2006/relationships/hyperlink" Id="rId31" Target="https://power.larc.nasa.gov/docs/services/api/temporal/monthl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2275</Words>
  <Characters>12971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Forecasting Monthly Solar Irradiance in Kuala Lumpur Using ETS</dc:title>
  <dc:creator/>
  <dc:language>en-GB</dc:language>
  <cp:keywords/>
  <dcterms:created xsi:type="dcterms:W3CDTF">2026-09-02T03:15:55Z</dcterms:created>
  <dcterms:modified xsi:type="dcterms:W3CDTF">2026-09-02T03:15:55Z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ieee.csl</vt:lpwstr>
  </property>
  <property fmtid="{D5CDD505-2E9C-101B-9397-08002B2CF9AE}" pid="4" name="link-citations">
    <vt:lpwstr>False</vt:lpwstr>
  </property>
  <property fmtid="{D5CDD505-2E9C-101B-9397-08002B2CF9AE}" pid="5" name="number-sections">
    <vt:lpwstr>False</vt:lpwstr>
  </property>
  <property fmtid="{D5CDD505-2E9C-101B-9397-08002B2CF9AE}" pid="6" name="table-caption-position">
    <vt:lpwstr>above</vt:lpwstr>
  </property>
</Properties>
</file>