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5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Trend-and-Season Regression for Monthly Solar Irradiance Forecasting</w:t>
      </w:r>
    </w:p>
    <w:p>
      <w:pPr>
        <w:pStyle w:val="Author"/>
      </w:pPr>
      <w:r>
        <w:t xml:space="preserve">[Member 4 name]</w:t>
      </w:r>
    </w:p>
    <w:p>
      <w:pPr>
        <w:pStyle w:val="Affiliation"/>
      </w:pPr>
      <w:r>
        <w:t xml:space="preserve">[University and faculty]</w:t>
      </w:r>
      <w:r>
        <w:br/>
      </w:r>
      <w:r>
        <w:t xml:space="preserve">BMMS2094 Statistics for Data Science · Student ID: [ID] · Tutorial/Group: [Identifier]</w:t>
      </w:r>
      <w:r>
        <w:br/>
      </w:r>
      <w:r>
        <w:t xml:space="preserve">Assigned model: Multiple linear regression (trend + season) · Submission date: [DD Month YYYY]</w:t>
      </w:r>
    </w:p>
    <w:p>
      <w:pPr>
        <w:sectPr>
          <w:type w:val="continuous"/>
          <w:pgSz w:w="12240" w:h="15840"/>
          <w:pgMar w:top="1080" w:right="893" w:bottom="1440" w:left="893" w:header="720" w:footer="720" w:gutter="0"/>
          <w:cols w:num="1" w:space="720"/>
          <w:docGrid w:linePitch="360"/>
        </w:sectPr>
      </w:pPr>
    </w:p>
    <w:p>
      <w:pPr>
        <w:pStyle w:val="Abstract"/>
      </w:pPr>
      <w:r>
        <w:rPr>
          <w:b/>
          <w:bCs/>
        </w:rPr>
        <w:t xml:space="preserve">Abstract—</w:t>
      </w:r>
      <w:r>
        <w:t xml:space="preserve">This report evaluates a multiple linear regression with deterministic trend and monthly seasonal indicators for NASA POWER surface solar irradiance in Kuala Lumpur. The model achieved test RMSE 0.2988 but failed the lag-24 residual white-noise diagnostic, limiting its suitability as a standalone forecaster.</w:t>
      </w:r>
    </w:p>
    <w:p>
      <w:pPr>
        <w:pStyle w:val="Keywords"/>
      </w:pPr>
      <w:r>
        <w:rPr>
          <w:b/>
          <w:bCs/>
        </w:rPr>
        <w:t xml:space="preserve">Keywords—</w:t>
      </w:r>
      <w:r>
        <w:t xml:space="preserve">forecasting, linear regression, monthly seasonality, solar irradiance, time trend.</w:t>
      </w:r>
    </w:p>
    <w:bookmarkStart w:id="22" w:name="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This report proposes evaluating multiple linear regression for monthly NASA POWER solar irradiance in Kuala Lumpur</w:t>
      </w:r>
      <w:r>
        <w:t xml:space="preserve"> </w:t>
      </w:r>
      <w:hyperlink w:anchor="ref-nasa-power-monthly">
        <w:r>
          <w:rPr>
            <w:rStyle w:val="Hyperlink"/>
          </w:rPr>
          <w:t xml:space="preserve">[1]</w:t>
        </w:r>
      </w:hyperlink>
      <w:r>
        <w:t xml:space="preserve">. The proposed model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t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12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D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numerical month index, January is the reference month, and eleven indicators represent February–December.</w:t>
      </w:r>
      <w:r>
        <w:t xml:space="preserve"> </w:t>
      </w:r>
      <w:r>
        <w:rPr>
          <w:rStyle w:val="VerbatimChar"/>
        </w:rPr>
        <w:t xml:space="preserve">forecast::tslm()</w:t>
      </w:r>
      <w:r>
        <w:t xml:space="preserve"> </w:t>
      </w:r>
      <w:r>
        <w:t xml:space="preserve">creates the</w:t>
      </w:r>
      <w:r>
        <w:t xml:space="preserve"> </w:t>
      </w:r>
      <w:r>
        <w:rPr>
          <w:rStyle w:val="VerbatimChar"/>
        </w:rPr>
        <w:t xml:space="preserve">trend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 </w:t>
      </w:r>
      <w:r>
        <w:t xml:space="preserve">variables from the time-series attributes</w:t>
      </w:r>
      <w:r>
        <w:t xml:space="preserve"> </w:t>
      </w:r>
      <w:hyperlink w:anchor="ref-forecast-tslm">
        <w:r>
          <w:rPr>
            <w:rStyle w:val="Hyperlink"/>
          </w:rPr>
          <w:t xml:space="preserve">[2]</w:t>
        </w:r>
      </w:hyperlink>
      <w:r>
        <w:t xml:space="preserve">. Simple trend-only regression was excluded because it cannot represent recurring calendar-month effects; the trend term would estimate movement after controlling for month.</w:t>
      </w:r>
    </w:p>
    <w:p>
      <w:pPr>
        <w:pStyle w:val="BodyText"/>
      </w:pPr>
      <w:r>
        <w:t xml:space="preserve">The common chronological split would use January 2001–December 2020 for fitting and January 2021–December 2025 for final testing. Both are full annual cycles; random splitting would leak future information. The need for transformation would be assessed from training data only, with response-scale modelling preferred when variance diagnostics did not justify transformation.</w:t>
      </w:r>
    </w:p>
    <w:p>
      <w:pPr>
        <w:pStyle w:val="BodyText"/>
      </w:pPr>
      <w:r>
        <w:t xml:space="preserve">The locked formula would be</w:t>
      </w:r>
      <w:r>
        <w:t xml:space="preserve"> </w:t>
      </w:r>
      <w:r>
        <w:rPr>
          <w:rStyle w:val="VerbatimChar"/>
        </w:rPr>
        <w:t xml:space="preserve">tslm(train ~ trend + season)</w:t>
      </w:r>
      <w:r>
        <w:t xml:space="preserve">. Ordinary least squares assumes a linear conditional mean, constant error variance, and uncorrelated errors. Coefficients and their uncertainty,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residual standard error, and expanding-window validation at a 12-month horizon would be used to assess explanatory and forecasting performance</w:t>
      </w:r>
      <w:r>
        <w:t xml:space="preserve"> </w:t>
      </w:r>
      <w:hyperlink w:anchor="ref-hyndman-athanasopoulos-2021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BodyText"/>
      </w:pPr>
      <w:r>
        <w:t xml:space="preserve">Response residuals would be inspected over time and by ACF, followed by a lag-24 Ljung–Box test with fitted regression degrees of freedom</w:t>
      </w:r>
      <w:r>
        <w:t xml:space="preserve"> </w:t>
      </w:r>
      <w:hyperlink w:anchor="ref-forecast-checkresiduals">
        <w:r>
          <w:rPr>
            <w:rStyle w:val="Hyperlink"/>
          </w:rPr>
          <w:t xml:space="preserve">[4]</w:t>
        </w:r>
      </w:hyperlink>
      <w:r>
        <w:t xml:space="preserve">. Material autocorrelation would trigger consideration of regression with ARIMA errors, while the locked assignment model would remain available for the common comparison.</w:t>
      </w:r>
    </w:p>
    <w:bookmarkEnd w:id="22"/>
    <w:bookmarkStart w:id="38" w:name="results-discussion-and-conclusion"/>
    <w:p>
      <w:pPr>
        <w:pStyle w:val="Heading1"/>
      </w:pPr>
      <w:r>
        <w:t xml:space="preserve">Results, Discussion, and Conclusion</w:t>
      </w:r>
    </w:p>
    <w:p>
      <w:pPr>
        <w:pStyle w:val="FirstParagraph"/>
      </w:pPr>
      <w:r>
        <w:t xml:space="preserve">The fitted model had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.5358</m:t>
        </m:r>
      </m:oMath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.5591</m:t>
        </m:r>
      </m:oMath>
      <w:r>
        <w:t xml:space="preserve">; residual SE=.2817). Relative to January, the estimated March effect was +0.6468 and the December effect was −0.4147 kWh/m²/day. The trend estimate was +0.000381 per month (SE=0.000263,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.148</m:t>
        </m:r>
      </m:oMath>
      <w:r>
        <w:t xml:space="preserve">), so a strong trend was unsupported. Expanding-window validation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used 217 origins and yielded RMSE=.3545 and MAE=.2681. At lag 24 with 13 fitted coefficients, Ljung–Box gave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32.622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, rejecting residual white noise.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 (kWh/m²/day)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 (kWh/m²/day)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Ljung–Box p-value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</w:tr>
    </w:tbl>
    <w:p>
      <w:pPr>
        <w:pStyle w:val="CaptionedFigure"/>
      </w:pPr>
      <w:r>
        <w:drawing>
          <wp:inline>
            <wp:extent cx="2926080" cy="1645920"/>
            <wp:effectExtent b="0" l="0" r="0" t="0"/>
            <wp:docPr descr="Trend-plus-season regression test forecasts with 95% intervals." title="" id="24" name="Picture"/>
            <a:graphic>
              <a:graphicData uri="http://schemas.openxmlformats.org/drawingml/2006/picture">
                <pic:pic>
                  <pic:nvPicPr>
                    <pic:cNvPr descr="../analysis_outputs/nasa/figures/nasa_trend_season_test_forecas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Trend-plus-season regression test forecasts with 95% intervals.</w:t>
      </w:r>
    </w:p>
    <w:p>
      <w:pPr>
        <w:pStyle w:val="BodyText"/>
      </w:pPr>
      <w:r>
        <w:t xml:space="preserve">Regression ranked third by RMSE and produced non-negative point forecasts. Its strength is direct interpretation: recurring month effects explain substantial variation, while the small uncertain trend prevents an exaggerated long-run claim. Its main weakness is decisive residual autocorrelation; fixed month effects and a linear trend do not capture remaining temporal dependence. Fixed linear extrapolation and homoscedastic independent-error assumptions are additional limitations.</w:t>
      </w:r>
    </w:p>
    <w:p>
      <w:pPr>
        <w:pStyle w:val="BodyText"/>
      </w:pPr>
      <w:r>
        <w:t xml:space="preserve">The specified regression is useful descriptively but is not adequate as the final standalone forecasting model. The strongest extension is regression with ARIMA errors, preserving interpretable trend/month effects while modelling serial correlation. Fourier seasonality, structural-change terms, robust variance checks, and rolling-origin comparisons are also recommended. Any irradiance forecast remains a solar-resource estimate, not photovoltaic electricity output.</w:t>
      </w:r>
    </w:p>
    <w:p>
      <w:pPr>
        <w:pStyle w:val="Heading5"/>
      </w:pPr>
      <w:r>
        <w:t xml:space="preserve">References</w:t>
      </w:r>
    </w:p>
    <w:bookmarkStart w:id="34" w:name="refs"/>
    <w:bookmarkStart w:id="27" w:name="ref-nasa-power-monthly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NASA Prediction Of Worldwide Energy Resources,</w:t>
      </w:r>
      <w:r>
        <w:t xml:space="preserve"> </w:t>
      </w:r>
      <w:r>
        <w:t xml:space="preserve">‘Monthly and annual API’</w:t>
      </w:r>
      <w:r>
        <w:t xml:space="preserve">. Accessed: Sep. 01, 2026. [Online]. Available:</w:t>
      </w:r>
      <w:r>
        <w:t xml:space="preserve"> </w:t>
      </w:r>
      <w:hyperlink r:id="rId26">
        <w:r>
          <w:rPr>
            <w:rStyle w:val="Hyperlink"/>
          </w:rPr>
          <w:t xml:space="preserve">https://power.larc.nasa.gov/docs/services/api/temporal/monthly/</w:t>
        </w:r>
      </w:hyperlink>
    </w:p>
    <w:bookmarkEnd w:id="27"/>
    <w:bookmarkStart w:id="29" w:name="ref-forecast-tsl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M. O’Hara-Wild and R. J. Hyndman,</w:t>
      </w:r>
      <w:r>
        <w:t xml:space="preserve"> </w:t>
      </w:r>
      <w:r>
        <w:t xml:space="preserve">‘Fit a linear model with time series components’</w:t>
      </w:r>
      <w:r>
        <w:t xml:space="preserve">. Accessed: Sep. 01, 2026. [Online]. Available:</w:t>
      </w:r>
      <w:r>
        <w:t xml:space="preserve"> </w:t>
      </w:r>
      <w:hyperlink r:id="rId28">
        <w:r>
          <w:rPr>
            <w:rStyle w:val="Hyperlink"/>
          </w:rPr>
          <w:t xml:space="preserve">https://pkg.robjhyndman.com/forecast/reference/tslm.html</w:t>
        </w:r>
      </w:hyperlink>
    </w:p>
    <w:bookmarkEnd w:id="29"/>
    <w:bookmarkStart w:id="31" w:name="ref-hyndman-athanasopoulos-202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J. Hyndman and G. Athanasopoulos,</w:t>
      </w:r>
      <w:r>
        <w:t xml:space="preserve"> </w:t>
      </w:r>
      <w:r>
        <w:rPr>
          <w:i/>
          <w:iCs/>
        </w:rPr>
        <w:t xml:space="preserve">Forecasting: Principles and practice</w:t>
      </w:r>
      <w:r>
        <w:t xml:space="preserve">, 3rd edn. Melbourne, Australia: OTexts, 2021. Available:</w:t>
      </w:r>
      <w:r>
        <w:t xml:space="preserve"> </w:t>
      </w:r>
      <w:hyperlink r:id="rId30">
        <w:r>
          <w:rPr>
            <w:rStyle w:val="Hyperlink"/>
          </w:rPr>
          <w:t xml:space="preserve">https://otexts.com/fpp3/</w:t>
        </w:r>
      </w:hyperlink>
    </w:p>
    <w:bookmarkEnd w:id="31"/>
    <w:bookmarkStart w:id="33" w:name="ref-forecast-checkresidual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J. Hyndman,</w:t>
      </w:r>
      <w:r>
        <w:t xml:space="preserve"> </w:t>
      </w:r>
      <w:r>
        <w:t xml:space="preserve">‘Check that residuals from a time series model look like white noise’</w:t>
      </w:r>
      <w:r>
        <w:t xml:space="preserve">. Accessed: Sep. 01, 2026. [Online]. Available:</w:t>
      </w:r>
      <w:r>
        <w:t xml:space="preserve"> </w:t>
      </w:r>
      <w:hyperlink r:id="rId32">
        <w:r>
          <w:rPr>
            <w:rStyle w:val="Hyperlink"/>
          </w:rPr>
          <w:t xml:space="preserve">https://pkg.robjhyndman.com/forecast/reference/checkresiduals.html</w:t>
        </w:r>
      </w:hyperlink>
    </w:p>
    <w:bookmarkEnd w:id="33"/>
    <w:bookmarkEnd w:id="34"/>
    <w:p>
      <w:pPr>
        <w:pStyle w:val="Heading5"/>
      </w:pPr>
      <w:r>
        <w:t xml:space="preserve">Appendix A: Reproducible Regression Code</w:t>
      </w:r>
    </w:p>
    <w:p>
      <w:pPr>
        <w:pStyle w:val="BodyText"/>
      </w:pPr>
      <w:r>
        <w:t xml:space="preserve">Canonical source:</w:t>
      </w:r>
      <w:r>
        <w:t xml:space="preserve"> </w:t>
      </w:r>
      <w:r>
        <w:rPr>
          <w:rStyle w:val="VerbatimChar"/>
        </w:rPr>
        <w:t xml:space="preserve">../NASA_Solar_Irradiance_Forecasting.R</w:t>
      </w:r>
      <w:r>
        <w:t xml:space="preserve">. No random procedure is used.</w:t>
      </w:r>
    </w:p>
    <w:p>
      <w:pPr>
        <w:pStyle w:val="CaptionedFigure"/>
      </w:pPr>
      <w:r>
        <w:drawing>
          <wp:inline>
            <wp:extent cx="2926080" cy="1645920"/>
            <wp:effectExtent b="0" l="0" r="0" t="0"/>
            <wp:docPr descr="Regression training response residuals and residual ACF." title="" id="36" name="Picture"/>
            <a:graphic>
              <a:graphicData uri="http://schemas.openxmlformats.org/drawingml/2006/picture">
                <pic:pic>
                  <pic:nvPicPr>
                    <pic:cNvPr descr="../analysis_outputs/nasa/figures/nasa_trend_season_diagnostic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Regression training response residuals and residual ACF.</w:t>
      </w:r>
    </w:p>
    <w:p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(series,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(series,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trend_season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tslm</w:t>
      </w:r>
      <w:r>
        <w:rPr>
          <w:rStyle w:val="NormalTok"/>
        </w:rPr>
        <w:t xml:space="preserve">(train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season)</w:t>
      </w:r>
      <w:r>
        <w:br/>
      </w:r>
      <w:r>
        <w:rPr>
          <w:rStyle w:val="NormalTok"/>
        </w:rPr>
        <w:t xml:space="preserve">reg_fc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(trend_season,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(test),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reg_res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(trend_season))</w:t>
      </w:r>
      <w:r>
        <w:br/>
      </w:r>
      <w:r>
        <w:rPr>
          <w:rStyle w:val="FunctionTok"/>
        </w:rPr>
        <w:t xml:space="preserve">Box.test</w:t>
      </w:r>
      <w:r>
        <w:rPr>
          <w:rStyle w:val="NormalTok"/>
        </w:rPr>
        <w:t xml:space="preserve">(reg_res,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"Ljung-Box"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fitdf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(trend_season)))</w:t>
      </w:r>
      <w:r>
        <w:br/>
      </w:r>
      <w:r>
        <w:br/>
      </w:r>
      <w:r>
        <w:rPr>
          <w:rStyle w:val="NormalTok"/>
        </w:rPr>
        <w:t xml:space="preserve">cv_fun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h)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season),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cv_h12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tsCV</w:t>
      </w:r>
      <w:r>
        <w:rPr>
          <w:rStyle w:val="NormalTok"/>
        </w:rPr>
        <w:t xml:space="preserve">(train, cv_fun,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)[,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metric_row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"Trend + season"</w:t>
      </w:r>
      <w:r>
        <w:rPr>
          <w:rStyle w:val="NormalTok"/>
        </w:rPr>
        <w:t xml:space="preserve">, reg_fc, test, train)</w:t>
      </w:r>
    </w:p>
    <w:bookmarkEnd w:id="38"/>
    <w:sectPr w:rsidR="00D7522C" w:rsidRPr="00CA4392" w:rsidSect="00E41015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type w:val="continuous"/>
      <w:pgSz w:code="1" w:h="15840" w:w="12240"/>
      <w:pgMar w:bottom="1440" w:footer="720" w:gutter="0" w:header="720" w:left="893" w:right="893" w:top="1080"/>
      <w:cols w:num="2" w:space="36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C890E" w14:textId="77777777" w:rsidR="00E41015" w:rsidRDefault="00E410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6CC85" w14:textId="77777777" w:rsidR="00E41015" w:rsidRDefault="00E410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21F62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EAAFE" w14:textId="77777777" w:rsidR="00E41015" w:rsidRDefault="00E410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9F4F3" w14:textId="77777777" w:rsidR="00E41015" w:rsidRDefault="00E410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3D8C" w14:textId="77777777" w:rsidR="00E41015" w:rsidRDefault="00E41015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hanging="360" w:left="936"/>
      </w:pPr>
    </w:lvl>
    <w:lvl w:ilvl="1" w:tentative="1" w:tplc="04140019">
      <w:start w:val="1"/>
      <w:numFmt w:val="lowerLetter"/>
      <w:lvlText w:val="%2."/>
      <w:lvlJc w:val="left"/>
      <w:pPr>
        <w:ind w:hanging="360" w:left="1656"/>
      </w:pPr>
    </w:lvl>
    <w:lvl w:ilvl="2" w:tentative="1" w:tplc="0414001B">
      <w:start w:val="1"/>
      <w:numFmt w:val="lowerRoman"/>
      <w:lvlText w:val="%3."/>
      <w:lvlJc w:val="right"/>
      <w:pPr>
        <w:ind w:hanging="180" w:left="2376"/>
      </w:pPr>
    </w:lvl>
    <w:lvl w:ilvl="3" w:tentative="1" w:tplc="0414000F">
      <w:start w:val="1"/>
      <w:numFmt w:val="decimal"/>
      <w:lvlText w:val="%4."/>
      <w:lvlJc w:val="left"/>
      <w:pPr>
        <w:ind w:hanging="360" w:left="3096"/>
      </w:pPr>
    </w:lvl>
    <w:lvl w:ilvl="4" w:tentative="1" w:tplc="04140019">
      <w:start w:val="1"/>
      <w:numFmt w:val="lowerLetter"/>
      <w:lvlText w:val="%5."/>
      <w:lvlJc w:val="left"/>
      <w:pPr>
        <w:ind w:hanging="360" w:left="3816"/>
      </w:pPr>
    </w:lvl>
    <w:lvl w:ilvl="5" w:tentative="1" w:tplc="0414001B">
      <w:start w:val="1"/>
      <w:numFmt w:val="lowerRoman"/>
      <w:lvlText w:val="%6."/>
      <w:lvlJc w:val="right"/>
      <w:pPr>
        <w:ind w:hanging="180" w:left="4536"/>
      </w:pPr>
    </w:lvl>
    <w:lvl w:ilvl="6" w:tentative="1" w:tplc="0414000F">
      <w:start w:val="1"/>
      <w:numFmt w:val="decimal"/>
      <w:lvlText w:val="%7."/>
      <w:lvlJc w:val="left"/>
      <w:pPr>
        <w:ind w:hanging="360" w:left="5256"/>
      </w:pPr>
    </w:lvl>
    <w:lvl w:ilvl="7" w:tentative="1" w:tplc="04140019">
      <w:start w:val="1"/>
      <w:numFmt w:val="lowerLetter"/>
      <w:lvlText w:val="%8."/>
      <w:lvlJc w:val="left"/>
      <w:pPr>
        <w:ind w:hanging="360" w:left="5976"/>
      </w:pPr>
    </w:lvl>
    <w:lvl w:ilvl="8" w:tentative="1" w:tplc="0414001B">
      <w:start w:val="1"/>
      <w:numFmt w:val="lowerRoman"/>
      <w:lvlText w:val="%9."/>
      <w:lvlJc w:val="right"/>
      <w:pPr>
        <w:ind w:hanging="180" w:left="6696"/>
      </w:pPr>
    </w:lvl>
  </w:abstractNum>
  <w:abstractNum w15:restartNumberingAfterBreak="0" w:abstractNumId="12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13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pos="648" w:val="num"/>
        </w:tabs>
        <w:ind w:firstLine="288"/>
      </w:pPr>
      <w:rPr>
        <w:rFonts w:ascii="Times New Roman" w:cs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14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pos="648" w:val="num"/>
        </w:tabs>
        <w:ind w:hanging="360" w:left="64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pos="720" w:val="num"/>
        </w:tabs>
        <w:ind w:hanging="360" w:left="720"/>
      </w:pPr>
      <w:rPr>
        <w:rFonts w:cs="Times New Roman" w:hint="default"/>
      </w:rPr>
    </w:lvl>
  </w:abstractNum>
  <w:abstractNum w15:restartNumberingAfterBreak="0" w:abstractNumId="16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pos="576" w:val="num"/>
        </w:tabs>
        <w:ind w:firstLine="216"/>
      </w:pPr>
      <w:rPr>
        <w:rFonts w:ascii="Times New Roman" w:cs="Times New Roman" w:hAnsi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pos="360" w:val="num"/>
        </w:tabs>
        <w:ind w:hanging="288" w:left="288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pos="540" w:val="num"/>
        </w:tabs>
        <w:ind w:firstLine="180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pos="630" w:val="num"/>
        </w:tabs>
        <w:ind w:firstLine="360"/>
      </w:pPr>
      <w:rPr>
        <w:rFonts w:ascii="Times New Roman" w:cs="Times New Roman" w:hAnsi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pos="3240" w:val="num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3960" w:val="num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pos="4680" w:val="num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pos="5400" w:val="num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left="5760"/>
      </w:pPr>
      <w:rPr>
        <w:rFonts w:cs="Times New Roman" w:hint="default"/>
      </w:rPr>
    </w:lvl>
  </w:abstractNum>
  <w:abstractNum w15:restartNumberingAfterBreak="0" w:abstractNumId="17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hanging="360" w:left="418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360" w:val="num"/>
        </w:tabs>
        <w:ind w:hanging="360" w:left="36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15:restartNumberingAfterBreak="0" w:abstractNumId="19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hanging="360" w:left="360"/>
      </w:pPr>
      <w:rPr>
        <w:rFonts w:ascii="Times New Roman" w:cs="Times New Roman" w:hAnsi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2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pos="1080" w:val="num"/>
        </w:tabs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40377641" w:numId="1">
    <w:abstractNumId w:val="14"/>
  </w:num>
  <w:num w16cid:durableId="1397439891" w:numId="2">
    <w:abstractNumId w:val="19"/>
  </w:num>
  <w:num w16cid:durableId="539585121" w:numId="3">
    <w:abstractNumId w:val="13"/>
  </w:num>
  <w:num w16cid:durableId="1505513160" w:numId="4">
    <w:abstractNumId w:val="16"/>
  </w:num>
  <w:num w16cid:durableId="978925957" w:numId="5">
    <w:abstractNumId w:val="16"/>
  </w:num>
  <w:num w16cid:durableId="1721400726" w:numId="6">
    <w:abstractNumId w:val="16"/>
  </w:num>
  <w:num w16cid:durableId="687826470" w:numId="7">
    <w:abstractNumId w:val="16"/>
  </w:num>
  <w:num w16cid:durableId="143812469" w:numId="8">
    <w:abstractNumId w:val="18"/>
  </w:num>
  <w:num w16cid:durableId="1364867722" w:numId="9">
    <w:abstractNumId w:val="20"/>
  </w:num>
  <w:num w16cid:durableId="2029989048" w:numId="10">
    <w:abstractNumId w:val="15"/>
  </w:num>
  <w:num w16cid:durableId="642739898" w:numId="11">
    <w:abstractNumId w:val="12"/>
  </w:num>
  <w:num w16cid:durableId="1272741182" w:numId="12">
    <w:abstractNumId w:val="11"/>
  </w:num>
  <w:num w16cid:durableId="851069540" w:numId="13">
    <w:abstractNumId w:val="0"/>
  </w:num>
  <w:num w16cid:durableId="529344390" w:numId="14">
    <w:abstractNumId w:val="10"/>
  </w:num>
  <w:num w16cid:durableId="894972538" w:numId="15">
    <w:abstractNumId w:val="8"/>
  </w:num>
  <w:num w16cid:durableId="1023093075" w:numId="16">
    <w:abstractNumId w:val="7"/>
  </w:num>
  <w:num w16cid:durableId="1951620780" w:numId="17">
    <w:abstractNumId w:val="6"/>
  </w:num>
  <w:num w16cid:durableId="1765606468" w:numId="18">
    <w:abstractNumId w:val="5"/>
  </w:num>
  <w:num w16cid:durableId="409623909" w:numId="19">
    <w:abstractNumId w:val="9"/>
  </w:num>
  <w:num w16cid:durableId="1936084648" w:numId="20">
    <w:abstractNumId w:val="4"/>
  </w:num>
  <w:num w16cid:durableId="146483437" w:numId="21">
    <w:abstractNumId w:val="3"/>
  </w:num>
  <w:num w16cid:durableId="1467505995" w:numId="22">
    <w:abstractNumId w:val="2"/>
  </w:num>
  <w:num w16cid:durableId="1408696933" w:numId="23">
    <w:abstractNumId w:val="1"/>
  </w:num>
  <w:num w16cid:durableId="1366640472" w:numId="24">
    <w:abstractNumId w:val="17"/>
  </w:num>
  <w:num w16cid:durableId="1917282883" w:numId="25">
    <w:abstractNumId w:val="1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74903"/>
    <w:rsid w:val="003A19E2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D54F6"/>
    <w:rsid w:val="008F6E2C"/>
    <w:rsid w:val="009303D9"/>
    <w:rsid w:val="00933C64"/>
    <w:rsid w:val="00972203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1CCC"/>
    <w:rsid w:val="00D632BE"/>
    <w:rsid w:val="00D72D06"/>
    <w:rsid w:val="00D7522C"/>
    <w:rsid w:val="00D7536F"/>
    <w:rsid w:val="00D76668"/>
    <w:rsid w:val="00D81CDC"/>
    <w:rsid w:val="00E41015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E7114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SimSun" w:hAnsi="Times New Roman"/>
        <w:lang w:bidi="ar-SA" w:eastAsia="en-US" w:val="en-GB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spacing w:after="120"/>
      <w:ind w:firstLine="288"/>
      <w:jc w:val="both"/>
    </w:pPr>
  </w:style>
  <w:style w:styleId="Heading1" w:type="paragraph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pos="216" w:val="left"/>
      </w:tabs>
      <w:spacing w:after="80" w:before="160"/>
      <w:ind w:firstLine="0"/>
      <w:outlineLvl w:val="0"/>
    </w:pPr>
    <w:rPr>
      <w:smallCaps/>
      <w:noProof/>
    </w:rPr>
  </w:style>
  <w:style w:styleId="Heading2" w:type="paragraph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pos="360" w:val="clear"/>
        <w:tab w:pos="288" w:val="num"/>
      </w:tabs>
      <w:spacing w:after="60" w:before="120"/>
      <w:jc w:val="left"/>
      <w:outlineLvl w:val="1"/>
    </w:pPr>
    <w:rPr>
      <w:i/>
      <w:iCs/>
      <w:noProof/>
    </w:rPr>
  </w:style>
  <w:style w:styleId="Heading3" w:type="paragraph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outlineLvl w:val="2"/>
    </w:pPr>
    <w:rPr>
      <w:i/>
      <w:iCs/>
      <w:noProof/>
    </w:rPr>
  </w:style>
  <w:style w:styleId="Heading4" w:type="paragraph">
    <w:name w:val="heading 4"/>
    <w:basedOn w:val="Normal"/>
    <w:next w:val="Normal"/>
    <w:qFormat/>
    <w:rsid w:val="00794804"/>
    <w:pPr>
      <w:numPr>
        <w:ilvl w:val="3"/>
        <w:numId w:val="4"/>
      </w:numPr>
      <w:tabs>
        <w:tab w:pos="630" w:val="clear"/>
        <w:tab w:pos="720" w:val="left"/>
      </w:tabs>
      <w:spacing w:after="40" w:before="40"/>
      <w:ind w:firstLine="504"/>
      <w:outlineLvl w:val="3"/>
    </w:pPr>
    <w:rPr>
      <w:i/>
      <w:iCs/>
      <w:noProof/>
    </w:rPr>
  </w:style>
  <w:style w:styleId="Heading5" w:type="paragraph">
    <w:name w:val="heading 5"/>
    <w:basedOn w:val="Normal"/>
    <w:next w:val="Normal"/>
    <w:qFormat/>
    <w:pPr>
      <w:tabs>
        <w:tab w:pos="360" w:val="left"/>
      </w:tabs>
      <w:spacing w:after="80" w:before="160"/>
      <w:outlineLvl w:val="4"/>
    </w:pPr>
    <w:rPr>
      <w:smallCaps/>
      <w:noProof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bstract" w:type="paragraph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customStyle="1" w:styleId="Affiliation" w:type="paragraph">
    <w:name w:val="Affiliation"/>
    <w:pPr>
      <w:jc w:val="center"/>
    </w:pPr>
  </w:style>
  <w:style w:customStyle="1" w:styleId="Author" w:type="paragraph">
    <w:name w:val="Author"/>
    <w:pPr>
      <w:spacing w:after="40" w:before="360"/>
      <w:jc w:val="center"/>
    </w:pPr>
    <w:rPr>
      <w:noProof/>
      <w:sz w:val="22"/>
      <w:szCs w:val="22"/>
    </w:rPr>
  </w:style>
  <w:style w:styleId="BodyText" w:type="paragraph">
    <w:name w:val="Body Text"/>
    <w:basedOn w:val="Normal"/>
    <w:link w:val="BodyTextChar"/>
    <w:rsid w:val="00E7596C"/>
    <w:pPr>
      <w:tabs>
        <w:tab w:pos="288" w:val="left"/>
      </w:tabs>
      <w:spacing w:line="228" w:lineRule="auto"/>
    </w:pPr>
    <w:rPr>
      <w:spacing w:val="-1"/>
      <w:lang w:eastAsia="x-none" w:val="x-none"/>
    </w:rPr>
  </w:style>
  <w:style w:customStyle="1" w:styleId="BodyTextChar" w:type="character">
    <w:name w:val="Body Text Char"/>
    <w:link w:val="BodyText"/>
    <w:rsid w:val="00E7596C"/>
    <w:rPr>
      <w:spacing w:val="-1"/>
      <w:lang w:eastAsia="x-none" w:val="x-none"/>
    </w:rPr>
  </w:style>
  <w:style w:customStyle="1" w:styleId="bulletlist" w:type="paragraph">
    <w:name w:val="bullet list"/>
    <w:basedOn w:val="BodyText"/>
    <w:rsid w:val="001B67DC"/>
    <w:pPr>
      <w:numPr>
        <w:numId w:val="1"/>
      </w:numPr>
      <w:tabs>
        <w:tab w:pos="648" w:val="clear"/>
      </w:tabs>
      <w:ind w:hanging="288" w:left="576"/>
    </w:pPr>
  </w:style>
  <w:style w:customStyle="1" w:styleId="equation" w:type="paragraph">
    <w:name w:val="equation"/>
    <w:basedOn w:val="Normal"/>
    <w:rsid w:val="008A2C7D"/>
    <w:pPr>
      <w:tabs>
        <w:tab w:pos="2520" w:val="center"/>
        <w:tab w:pos="5040" w:val="right"/>
      </w:tabs>
      <w:spacing w:after="240" w:before="240" w:line="216" w:lineRule="auto"/>
    </w:pPr>
    <w:rPr>
      <w:rFonts w:ascii="Symbol" w:cs="Symbol" w:hAnsi="Symbol"/>
    </w:rPr>
  </w:style>
  <w:style w:customStyle="1" w:styleId="figurecaption" w:type="paragraph">
    <w:name w:val="figure caption"/>
    <w:rsid w:val="005B0344"/>
    <w:pPr>
      <w:numPr>
        <w:numId w:val="2"/>
      </w:numPr>
      <w:tabs>
        <w:tab w:pos="533" w:val="left"/>
      </w:tabs>
      <w:spacing w:after="200" w:before="80"/>
      <w:ind w:firstLine="0" w:left="0"/>
      <w:jc w:val="both"/>
    </w:pPr>
    <w:rPr>
      <w:noProof/>
      <w:sz w:val="16"/>
      <w:szCs w:val="16"/>
    </w:rPr>
  </w:style>
  <w:style w:customStyle="1" w:styleId="footnote" w:type="paragraph">
    <w:name w:val="footnote"/>
    <w:pPr>
      <w:framePr w:hAnchor="page" w:hSpace="187" w:vAnchor="text" w:vSpace="187" w:wrap="notBeside" w:x="6121" w:y="577"/>
      <w:numPr>
        <w:numId w:val="3"/>
      </w:numPr>
      <w:spacing w:after="40"/>
    </w:pPr>
    <w:rPr>
      <w:sz w:val="16"/>
      <w:szCs w:val="16"/>
    </w:rPr>
  </w:style>
  <w:style w:customStyle="1" w:styleId="papersubtitle" w:type="paragraph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customStyle="1" w:styleId="papertitle" w:type="paragraph">
    <w:name w:val="paper title"/>
    <w:link w:val="papertitleChar"/>
    <w:pPr>
      <w:spacing w:after="120"/>
      <w:jc w:val="center"/>
    </w:pPr>
    <w:rPr>
      <w:rFonts w:eastAsia="MS Mincho"/>
      <w:noProof/>
      <w:sz w:val="48"/>
      <w:szCs w:val="48"/>
    </w:rPr>
  </w:style>
  <w:style w:customStyle="1" w:styleId="references" w:type="paragraph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customStyle="1" w:styleId="sponsors" w:type="paragraph">
    <w:name w:val="sponsors"/>
    <w:pPr>
      <w:framePr w:hAnchor="text" w:wrap="auto" w:x="615" w:y="2239"/>
      <w:pBdr>
        <w:top w:color="auto" w:space="2" w:sz="4" w:val="single"/>
      </w:pBdr>
      <w:ind w:firstLine="288"/>
    </w:pPr>
    <w:rPr>
      <w:sz w:val="16"/>
      <w:szCs w:val="16"/>
    </w:rPr>
  </w:style>
  <w:style w:customStyle="1" w:styleId="tablecolhead" w:type="paragraph">
    <w:name w:val="table col head"/>
    <w:basedOn w:val="Normal"/>
    <w:rPr>
      <w:b/>
      <w:bCs/>
      <w:sz w:val="16"/>
      <w:szCs w:val="16"/>
    </w:rPr>
  </w:style>
  <w:style w:customStyle="1" w:styleId="tablecolsubhead" w:type="paragraph">
    <w:name w:val="table col subhead"/>
    <w:basedOn w:val="tablecolhead"/>
    <w:rPr>
      <w:i/>
      <w:iCs/>
      <w:sz w:val="15"/>
      <w:szCs w:val="15"/>
    </w:rPr>
  </w:style>
  <w:style w:customStyle="1" w:styleId="tablecopy" w:type="paragraph">
    <w:name w:val="table copy"/>
    <w:pPr>
      <w:jc w:val="both"/>
    </w:pPr>
    <w:rPr>
      <w:noProof/>
      <w:sz w:val="16"/>
      <w:szCs w:val="16"/>
    </w:rPr>
  </w:style>
  <w:style w:customStyle="1" w:styleId="tablefootnote" w:type="paragraph">
    <w:name w:val="table footnote"/>
    <w:rsid w:val="005E2800"/>
    <w:pPr>
      <w:numPr>
        <w:numId w:val="24"/>
      </w:numPr>
      <w:spacing w:after="30" w:before="60"/>
      <w:ind w:hanging="29" w:left="58"/>
      <w:jc w:val="right"/>
    </w:pPr>
    <w:rPr>
      <w:sz w:val="12"/>
      <w:szCs w:val="12"/>
    </w:rPr>
  </w:style>
  <w:style w:customStyle="1" w:styleId="tablehead" w:type="paragraph">
    <w:name w:val="table head"/>
    <w:pPr>
      <w:numPr>
        <w:numId w:val="9"/>
      </w:numPr>
      <w:spacing w:after="120" w:before="240" w:line="216" w:lineRule="auto"/>
      <w:jc w:val="center"/>
    </w:pPr>
    <w:rPr>
      <w:smallCaps/>
      <w:noProof/>
      <w:sz w:val="16"/>
      <w:szCs w:val="16"/>
    </w:rPr>
  </w:style>
  <w:style w:customStyle="1" w:styleId="Keywords" w:type="paragraph">
    <w:name w:val="Keywords"/>
    <w:basedOn w:val="Abstract"/>
    <w:qFormat/>
    <w:rsid w:val="00F9441B"/>
    <w:pPr>
      <w:spacing w:after="120"/>
      <w:ind w:firstLine="274"/>
    </w:pPr>
    <w:rPr>
      <w:i/>
    </w:rPr>
  </w:style>
  <w:style w:styleId="Header" w:type="paragraph">
    <w:name w:val="header"/>
    <w:basedOn w:val="Normal"/>
    <w:link w:val="HeaderChar"/>
    <w:rsid w:val="001A3B3D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rsid w:val="001A3B3D"/>
  </w:style>
  <w:style w:styleId="Footer" w:type="paragraph">
    <w:name w:val="footer"/>
    <w:basedOn w:val="Normal"/>
    <w:link w:val="FooterChar"/>
    <w:rsid w:val="001A3B3D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1A3B3D"/>
  </w:style>
  <w:style w:styleId="Hyperlink" w:type="character">
    <w:name w:val="Hyperlink"/>
    <w:basedOn w:val="DefaultParagraphFont"/>
    <w:rsid w:val="00156B74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156B74"/>
    <w:rPr>
      <w:color w:val="605E5C"/>
      <w:shd w:color="auto" w:fill="E1DFDD" w:val="clear"/>
    </w:rPr>
  </w:style>
  <w:style w:styleId="Title" w:type="paragraph">
    <w:name w:val="Title"/>
    <w:basedOn w:val="Normal"/>
    <w:next w:val="Normal"/>
    <w:link w:val="TitleChar"/>
    <w:qFormat/>
    <w:rsid w:val="00E41015"/>
    <w:pPr>
      <w:contextualSpacing/>
      <w:jc w:val="center"/>
    </w:pPr>
    <w:rPr>
      <w:rFonts w:eastAsiaTheme="majorEastAsia"/>
      <w:spacing w:val="-10"/>
      <w:kern w:val="28"/>
      <w:sz w:val="48"/>
      <w:szCs w:val="56"/>
    </w:rPr>
  </w:style>
  <w:style w:customStyle="1" w:styleId="TitleChar" w:type="character">
    <w:name w:val="Title Char"/>
    <w:basedOn w:val="DefaultParagraphFont"/>
    <w:link w:val="Title"/>
    <w:rsid w:val="00E41015"/>
    <w:rPr>
      <w:rFonts w:eastAsiaTheme="majorEastAsia"/>
      <w:spacing w:val="-10"/>
      <w:kern w:val="28"/>
      <w:sz w:val="48"/>
      <w:szCs w:val="56"/>
    </w:rPr>
  </w:style>
  <w:style w:styleId="Caption" w:type="paragraph">
    <w:name w:val="caption"/>
    <w:basedOn w:val="Normal"/>
    <w:next w:val="Normal"/>
    <w:semiHidden/>
    <w:unhideWhenUsed/>
    <w:qFormat/>
    <w:rsid w:val="00E41015"/>
    <w:pPr>
      <w:spacing w:after="200" w:before="80"/>
    </w:pPr>
    <w:rPr>
      <w:iCs/>
      <w:color w:themeColor="text2" w:val="44546A"/>
      <w:sz w:val="16"/>
      <w:szCs w:val="18"/>
    </w:rPr>
  </w:style>
  <w:style w:customStyle="1" w:styleId="SourceCode" w:type="paragraph">
    <w:name w:val="Source Code"/>
    <w:basedOn w:val="papertitle"/>
    <w:link w:val="SourceCodeChar"/>
    <w:rsid w:val="00E41015"/>
    <w:pPr>
      <w:spacing w:after="0" w:afterAutospacing="1" w:beforeAutospacing="1"/>
      <w:jc w:val="left"/>
    </w:pPr>
    <w:rPr>
      <w:rFonts w:ascii="Courier New" w:cs="Courier New" w:hAnsi="Courier New"/>
      <w:sz w:val="14"/>
    </w:rPr>
  </w:style>
  <w:style w:customStyle="1" w:styleId="papertitleChar" w:type="character">
    <w:name w:val="paper title Char"/>
    <w:basedOn w:val="DefaultParagraphFont"/>
    <w:link w:val="papertitle"/>
    <w:rsid w:val="00E41015"/>
    <w:rPr>
      <w:rFonts w:eastAsia="MS Mincho"/>
      <w:noProof/>
      <w:sz w:val="48"/>
      <w:szCs w:val="48"/>
    </w:rPr>
  </w:style>
  <w:style w:customStyle="1" w:styleId="SourceCodeChar" w:type="character">
    <w:name w:val="Source Code Char"/>
    <w:basedOn w:val="papertitleChar"/>
    <w:link w:val="SourceCode"/>
    <w:rsid w:val="00E41015"/>
    <w:rPr>
      <w:rFonts w:ascii="Courier New" w:cs="Courier New" w:eastAsia="MS Mincho" w:hAnsi="Courier New"/>
      <w:noProof/>
      <w:sz w:val="14"/>
      <w:szCs w:val="48"/>
    </w:rPr>
  </w:style>
  <w:style w:customStyle="1" w:styleId="Table" w:type="table">
    <w:name w:val="Table"/>
    <w:basedOn w:val="TableNormal"/>
    <w:rsid w:val="00E41015"/>
    <w:rPr>
      <w:sz w:val="16"/>
    </w:rPr>
    <w:tblPr/>
  </w:style>
  <w:style w:styleId="Bibliography" w:type="paragraph">
    <w:name w:val="Bibliography"/>
    <w:basedOn w:val="Normal"/>
    <w:next w:val="Normal"/>
    <w:uiPriority w:val="37"/>
    <w:semiHidden/>
    <w:unhideWhenUsed/>
    <w:rsid w:val="00E41015"/>
    <w:pPr>
      <w:spacing w:after="50"/>
      <w:ind w:firstLine="0"/>
    </w:pPr>
    <w:rPr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image" Id="rId35" Target="media/rId35.png" /><Relationship Type="http://schemas.openxmlformats.org/officeDocument/2006/relationships/image" Id="rId23" Target="media/rId23.png" /><Relationship Type="http://schemas.openxmlformats.org/officeDocument/2006/relationships/hyperlink" Id="rId30" Target="https://otexts.com/fpp3/" TargetMode="External" /><Relationship Type="http://schemas.openxmlformats.org/officeDocument/2006/relationships/hyperlink" Id="rId32" Target="https://pkg.robjhyndman.com/forecast/reference/checkresiduals.html" TargetMode="External" /><Relationship Type="http://schemas.openxmlformats.org/officeDocument/2006/relationships/hyperlink" Id="rId28" Target="https://pkg.robjhyndman.com/forecast/reference/tslm.html" TargetMode="External" /><Relationship Type="http://schemas.openxmlformats.org/officeDocument/2006/relationships/hyperlink" Id="rId26" Target="https://power.larc.nasa.gov/docs/services/api/temporal/monthl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otexts.com/fpp3/" TargetMode="External" /><Relationship Type="http://schemas.openxmlformats.org/officeDocument/2006/relationships/hyperlink" Id="rId32" Target="https://pkg.robjhyndman.com/forecast/reference/checkresiduals.html" TargetMode="External" /><Relationship Type="http://schemas.openxmlformats.org/officeDocument/2006/relationships/hyperlink" Id="rId28" Target="https://pkg.robjhyndman.com/forecast/reference/tslm.html" TargetMode="External" /><Relationship Type="http://schemas.openxmlformats.org/officeDocument/2006/relationships/hyperlink" Id="rId26" Target="https://power.larc.nasa.gov/docs/services/api/temporal/monthl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2275</Words>
  <Characters>12971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Trend-and-Season Regression for Monthly Solar Irradiance Forecasting</dc:title>
  <dc:creator/>
  <dc:language>en-GB</dc:language>
  <cp:keywords/>
  <dcterms:created xsi:type="dcterms:W3CDTF">2026-09-02T00:10:29Z</dcterms:created>
  <dcterms:modified xsi:type="dcterms:W3CDTF">2026-09-02T00:10:29Z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ieee.csl</vt:lpwstr>
  </property>
  <property fmtid="{D5CDD505-2E9C-101B-9397-08002B2CF9AE}" pid="4" name="link-citations">
    <vt:lpwstr>True</vt:lpwstr>
  </property>
  <property fmtid="{D5CDD505-2E9C-101B-9397-08002B2CF9AE}" pid="5" name="number-sections">
    <vt:lpwstr>False</vt:lpwstr>
  </property>
  <property fmtid="{D5CDD505-2E9C-101B-9397-08002B2CF9AE}" pid="6" name="table-caption-position">
    <vt:lpwstr>above</vt:lpwstr>
  </property>
</Properties>
</file>