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0" w:line="276" w:lineRule="auto"/>
        <w:ind w:left="0" w:firstLine="0"/>
        <w:jc w:val="both"/>
        <w:rPr>
          <w:rFonts w:ascii="Times New Roman" w:cs="Times New Roman" w:eastAsia="Times New Roman" w:hAnsi="Times New Roman"/>
          <w:b w:val="1"/>
          <w:bCs w:val="1"/>
          <w:sz w:val="26"/>
          <w:szCs w:val="26"/>
        </w:rPr>
      </w:pPr>
      <w:bookmarkStart w:colFirst="0" w:colLast="0" w:name="_r3uqae8rpw8s" w:id="0"/>
      <w:bookmarkEnd w:id="0"/>
      <w:r w:rsidDel="00000000" w:rsidR="00000000" w:rsidRPr="00000000">
        <w:rPr>
          <w:rFonts w:ascii="Times New Roman" w:cs="Times New Roman" w:eastAsia="Times New Roman" w:hAnsi="Times New Roman"/>
          <w:b w:val="1"/>
          <w:bCs w:val="1"/>
          <w:i w:val="1"/>
          <w:iCs w:val="1"/>
          <w:sz w:val="26"/>
          <w:szCs w:val="26"/>
          <w:rtl w:val="0"/>
        </w:rPr>
        <w:t xml:space="preserve">Insecure Direct Object Reference</w:t>
      </w:r>
      <w:r w:rsidDel="00000000" w:rsidR="00000000" w:rsidRPr="00000000">
        <w:rPr>
          <w:rtl w:val="0"/>
        </w:rPr>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ALTA</w:t>
            </w:r>
          </w:p>
        </w:tc>
      </w:tr>
    </w:tbl>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vulnerabilidade de </w:t>
      </w:r>
      <w:r w:rsidDel="00000000" w:rsidR="00000000" w:rsidRPr="00000000">
        <w:rPr>
          <w:rFonts w:ascii="Times New Roman" w:cs="Times New Roman" w:eastAsia="Times New Roman" w:hAnsi="Times New Roman"/>
          <w:b w:val="1"/>
          <w:bCs w:val="1"/>
          <w:i w:val="1"/>
          <w:iCs w:val="1"/>
          <w:sz w:val="24"/>
          <w:szCs w:val="24"/>
          <w:rtl w:val="0"/>
        </w:rPr>
        <w:t xml:space="preserve">Insecure Direct Object Reference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 </w:t>
      </w:r>
      <w:r w:rsidDel="00000000" w:rsidR="00000000" w:rsidRPr="00000000">
        <w:rPr>
          <w:rFonts w:ascii="Times New Roman" w:cs="Times New Roman" w:eastAsia="Times New Roman" w:hAnsi="Times New Roman"/>
          <w:b w:val="1"/>
          <w:bCs w:val="1"/>
          <w:sz w:val="24"/>
          <w:szCs w:val="24"/>
          <w:rtl w:val="0"/>
        </w:rPr>
        <w:t xml:space="preserve">Referência de Objeto Direta Insegura,</w:t>
      </w:r>
      <w:r w:rsidDel="00000000" w:rsidR="00000000" w:rsidRPr="00000000">
        <w:rPr>
          <w:rFonts w:ascii="Times New Roman" w:cs="Times New Roman" w:eastAsia="Times New Roman" w:hAnsi="Times New Roman"/>
          <w:sz w:val="24"/>
          <w:szCs w:val="24"/>
          <w:rtl w:val="0"/>
        </w:rPr>
        <w:t xml:space="preserve"> em português) é um tipo de vulnerabilidade que ocorre quando uma aplicação não verifica adequadamente se um usuário tem permissão para visualizar ou manipular informações acessando um recurso diretamente através de seu identificador. Isso permite que um invasor acesse informações confidenciais ou execute ações maliciosas em nome de outro usuário.</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vulnerabilidade costuma ser explorada através da manipulação de algum tipo de campo </w:t>
      </w: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numérico, alfanumérico, ou </w:t>
      </w:r>
      <w:r w:rsidDel="00000000" w:rsidR="00000000" w:rsidRPr="00000000">
        <w:rPr>
          <w:rFonts w:ascii="Times New Roman" w:cs="Times New Roman" w:eastAsia="Times New Roman" w:hAnsi="Times New Roman"/>
          <w:sz w:val="24"/>
          <w:szCs w:val="24"/>
          <w:rtl w:val="0"/>
        </w:rPr>
        <w:t xml:space="preserve">alguma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previsível de parâmetros na </w:t>
      </w: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ou no corpo de uma requisição do tipo </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Nesse sentido, um atacante pode prever a identificação de outros usuários ou até mesmo utilizar-se de força bruta para enumerá-los e acessar ou até mesmo manipular suas informações, dependendo do caso.</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Adicionar informações específicas desse TDI.</w:t>
      </w:r>
      <w:r w:rsidDel="00000000" w:rsidR="00000000" w:rsidRPr="00000000">
        <w:rPr>
          <w:rtl w:val="0"/>
        </w:rPr>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3"/>
        </w:numPr>
        <w:spacing w:line="259" w:lineRule="auto"/>
        <w:ind w:left="1440" w:hanging="36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CWE-639: Authorization Bypass Through User-Controlled Key</w:t>
        </w:r>
      </w:hyperlink>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1">
      <w:pPr>
        <w:numPr>
          <w:ilvl w:val="0"/>
          <w:numId w:val="1"/>
        </w:numPr>
        <w:spacing w:after="160"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xxxxxxxxxx</w:t>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corrigir essa vulnerabilidade, é necessário implementar um mecanismo de controle de acesso adequado que restrinja o acesso a informações confidenciais. Isso pode ser feito através da implementação de verificações de autorização no servidor, verificando se o usuário atual tem permissão para acessar a informação solicitada, conferindo o seu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de autenticação com o </w:t>
      </w: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da requisição.</w:t>
      </w:r>
    </w:p>
    <w:p w:rsidR="00000000" w:rsidDel="00000000" w:rsidP="00000000" w:rsidRDefault="00000000" w:rsidRPr="00000000" w14:paraId="0000001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importante também não usar identificadores previsíveis para realizar operações de acesso a dados, por exemplo: </w:t>
      </w:r>
      <w:r w:rsidDel="00000000" w:rsidR="00000000" w:rsidRPr="00000000">
        <w:rPr>
          <w:rFonts w:ascii="Times New Roman" w:cs="Times New Roman" w:eastAsia="Times New Roman" w:hAnsi="Times New Roman"/>
          <w:b w:val="1"/>
          <w:bCs w:val="1"/>
          <w:sz w:val="24"/>
          <w:szCs w:val="24"/>
          <w:rtl w:val="0"/>
        </w:rPr>
        <w:t xml:space="preserve">IDs</w:t>
      </w:r>
      <w:r w:rsidDel="00000000" w:rsidR="00000000" w:rsidRPr="00000000">
        <w:rPr>
          <w:rFonts w:ascii="Times New Roman" w:cs="Times New Roman" w:eastAsia="Times New Roman" w:hAnsi="Times New Roman"/>
          <w:sz w:val="24"/>
          <w:szCs w:val="24"/>
          <w:rtl w:val="0"/>
        </w:rPr>
        <w:t xml:space="preserve"> numéricos;  </w:t>
      </w:r>
      <w:r w:rsidDel="00000000" w:rsidR="00000000" w:rsidRPr="00000000">
        <w:rPr>
          <w:rFonts w:ascii="Times New Roman" w:cs="Times New Roman" w:eastAsia="Times New Roman" w:hAnsi="Times New Roman"/>
          <w:i w:val="1"/>
          <w:i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nome de usuário;</w:t>
      </w:r>
      <w:r w:rsidDel="00000000" w:rsidR="00000000" w:rsidRPr="00000000">
        <w:rPr>
          <w:rFonts w:ascii="Times New Roman" w:cs="Times New Roman" w:eastAsia="Times New Roman" w:hAnsi="Times New Roman"/>
          <w:b w:val="1"/>
          <w:bCs w:val="1"/>
          <w:sz w:val="24"/>
          <w:szCs w:val="24"/>
          <w:rtl w:val="0"/>
        </w:rPr>
        <w:t xml:space="preserve"> CPF;</w:t>
      </w:r>
      <w:r w:rsidDel="00000000" w:rsidR="00000000" w:rsidRPr="00000000">
        <w:rPr>
          <w:rFonts w:ascii="Times New Roman" w:cs="Times New Roman" w:eastAsia="Times New Roman" w:hAnsi="Times New Roman"/>
          <w:sz w:val="24"/>
          <w:szCs w:val="24"/>
          <w:rtl w:val="0"/>
        </w:rPr>
        <w:t xml:space="preserve"> entre outros. Para isso, recomenda-se o uso de </w:t>
      </w:r>
      <w:r w:rsidDel="00000000" w:rsidR="00000000" w:rsidRPr="00000000">
        <w:rPr>
          <w:rFonts w:ascii="Times New Roman" w:cs="Times New Roman" w:eastAsia="Times New Roman" w:hAnsi="Times New Roman"/>
          <w:b w:val="1"/>
          <w:bCs w:val="1"/>
          <w:sz w:val="24"/>
          <w:szCs w:val="24"/>
          <w:rtl w:val="0"/>
        </w:rPr>
        <w:t xml:space="preserve">UUIDs</w:t>
      </w:r>
      <w:r w:rsidDel="00000000" w:rsidR="00000000" w:rsidRPr="00000000">
        <w:rPr>
          <w:rFonts w:ascii="Times New Roman" w:cs="Times New Roman" w:eastAsia="Times New Roman" w:hAnsi="Times New Roman"/>
          <w:sz w:val="24"/>
          <w:szCs w:val="24"/>
          <w:rtl w:val="0"/>
        </w:rPr>
        <w:t xml:space="preserve"> completamente imprevisíveis em conjunto com mecanismos de autorização robustos para verificar se o usuário possui acesso ao recurso que está sendo acessado.</w:t>
      </w:r>
    </w:p>
    <w:p w:rsidR="00000000" w:rsidDel="00000000" w:rsidP="00000000" w:rsidRDefault="00000000" w:rsidRPr="00000000" w14:paraId="00000016">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8">
      <w:pPr>
        <w:numPr>
          <w:ilvl w:val="0"/>
          <w:numId w:val="2"/>
        </w:numPr>
        <w:spacing w:after="160" w:line="259" w:lineRule="auto"/>
        <w:ind w:left="72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Insecure Direct Object References (IDOR)</w:t>
        </w:r>
      </w:hyperlink>
      <w:r w:rsidDel="00000000" w:rsidR="00000000" w:rsidRPr="00000000">
        <w:rPr>
          <w:rtl w:val="0"/>
        </w:rPr>
      </w:r>
    </w:p>
    <w:p w:rsidR="00000000" w:rsidDel="00000000" w:rsidP="00000000" w:rsidRDefault="00000000" w:rsidRPr="00000000" w14:paraId="00000019">
      <w:pPr>
        <w:numPr>
          <w:ilvl w:val="0"/>
          <w:numId w:val="2"/>
        </w:numPr>
        <w:spacing w:after="160" w:line="259" w:lineRule="auto"/>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Acunetix - What Are Insecure Direct Object References</w:t>
        </w:r>
      </w:hyperlink>
      <w:r w:rsidDel="00000000" w:rsidR="00000000" w:rsidRPr="00000000">
        <w:rPr>
          <w:rtl w:val="0"/>
        </w:rPr>
      </w:r>
    </w:p>
    <w:p w:rsidR="00000000" w:rsidDel="00000000" w:rsidP="00000000" w:rsidRDefault="00000000" w:rsidRPr="00000000" w14:paraId="0000001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p>
    <w:p w:rsidR="00000000" w:rsidDel="00000000" w:rsidP="00000000" w:rsidRDefault="00000000" w:rsidRPr="00000000" w14:paraId="0000001C">
      <w:pPr>
        <w:pStyle w:val="Heading2"/>
        <w:spacing w:after="240" w:before="0" w:line="276" w:lineRule="auto"/>
        <w:ind w:left="0" w:firstLine="0"/>
        <w:jc w:val="both"/>
        <w:rPr>
          <w:rFonts w:ascii="Times New Roman" w:cs="Times New Roman" w:eastAsia="Times New Roman" w:hAnsi="Times New Roman"/>
          <w:sz w:val="24"/>
          <w:szCs w:val="24"/>
        </w:rPr>
      </w:pPr>
      <w:bookmarkStart w:colFirst="0" w:colLast="0" w:name="_30336zc8y987" w:id="1"/>
      <w:bookmarkEnd w:id="1"/>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we.mitre.org/data/definitions/639.html" TargetMode="External"/><Relationship Id="rId7" Type="http://schemas.openxmlformats.org/officeDocument/2006/relationships/hyperlink" Target="https://portswigger.net/web-security/access-control/idor" TargetMode="External"/><Relationship Id="rId8" Type="http://schemas.openxmlformats.org/officeDocument/2006/relationships/hyperlink" Target="https://www.acunetix.com/blog/web-security-zone/what-are-insecure-direct-object-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