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numPr>
          <w:ilvl w:val="1"/>
          <w:numId w:val="1"/>
        </w:numPr>
        <w:spacing w:after="240" w:before="0" w:line="276" w:lineRule="auto"/>
        <w:ind w:left="708.6614173228347" w:hanging="283.46456692913375"/>
        <w:jc w:val="both"/>
        <w:rPr>
          <w:rFonts w:ascii="Times New Roman" w:cs="Times New Roman" w:eastAsia="Times New Roman" w:hAnsi="Times New Roman"/>
          <w:b w:val="1"/>
          <w:bCs w:val="1"/>
          <w:sz w:val="26"/>
          <w:szCs w:val="26"/>
        </w:rPr>
      </w:pPr>
      <w:bookmarkStart w:colFirst="0" w:colLast="0" w:name="_zg6315u2e7cb" w:id="0"/>
      <w:bookmarkEnd w:id="0"/>
      <w:r w:rsidDel="00000000" w:rsidR="00000000" w:rsidRPr="00000000">
        <w:rPr>
          <w:rFonts w:ascii="Times New Roman" w:cs="Times New Roman" w:eastAsia="Times New Roman" w:hAnsi="Times New Roman"/>
          <w:b w:val="1"/>
          <w:bCs w:val="1"/>
          <w:i w:val="1"/>
          <w:iCs w:val="1"/>
          <w:sz w:val="26"/>
          <w:szCs w:val="26"/>
          <w:rtl w:val="0"/>
        </w:rPr>
        <w:t xml:space="preserve">Mass Assignment</w:t>
      </w:r>
      <w:r w:rsidDel="00000000" w:rsidR="00000000" w:rsidRPr="00000000">
        <w:rPr>
          <w:rFonts w:ascii="Times New Roman" w:cs="Times New Roman" w:eastAsia="Times New Roman" w:hAnsi="Times New Roman"/>
          <w:b w:val="1"/>
          <w:bCs w:val="1"/>
          <w:sz w:val="26"/>
          <w:szCs w:val="26"/>
          <w:rtl w:val="0"/>
        </w:rPr>
        <w:t xml:space="preserve"> Permite </w:t>
      </w:r>
      <w:commentRangeStart w:id="0"/>
      <w:r w:rsidDel="00000000" w:rsidR="00000000" w:rsidRPr="00000000">
        <w:rPr>
          <w:rFonts w:ascii="Times New Roman" w:cs="Times New Roman" w:eastAsia="Times New Roman" w:hAnsi="Times New Roman"/>
          <w:b w:val="1"/>
          <w:bCs w:val="1"/>
          <w:sz w:val="26"/>
          <w:szCs w:val="26"/>
          <w:highlight w:val="yellow"/>
          <w:rtl w:val="0"/>
        </w:rPr>
        <w:t xml:space="preserve">Alteração do Tipo de Conta</w:t>
      </w:r>
      <w:commentRangeEnd w:id="0"/>
      <w:r w:rsidDel="00000000" w:rsidR="00000000" w:rsidRPr="00000000">
        <w:commentReference w:id="0"/>
      </w:r>
      <w:r w:rsidDel="00000000" w:rsidR="00000000" w:rsidRPr="00000000">
        <w:rPr>
          <w:rtl w:val="0"/>
        </w:rPr>
      </w:r>
    </w:p>
    <w:tbl>
      <w:tblPr>
        <w:tblStyle w:val="Table1"/>
        <w:tblW w:w="3795.0" w:type="dxa"/>
        <w:jc w:val="left"/>
        <w:tblInd w:w="26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890"/>
        <w:tblGridChange w:id="0">
          <w:tblGrid>
            <w:gridCol w:w="1905"/>
            <w:gridCol w:w="1890"/>
          </w:tblGrid>
        </w:tblGridChange>
      </w:tblGrid>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CVSS v4.0</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Severidade</w:t>
            </w:r>
          </w:p>
        </w:tc>
      </w:tr>
      <w:tr>
        <w:trPr>
          <w:cantSplit w:val="0"/>
          <w:tblHeader w:val="0"/>
        </w:trPr>
        <w:tc>
          <w:tcPr>
            <w:vAlign w:val="center"/>
          </w:tcPr>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sz w:val="24"/>
                <w:szCs w:val="24"/>
                <w:highlight w:val="yellow"/>
              </w:rPr>
            </w:pPr>
            <w:commentRangeStart w:id="1"/>
            <w:hyperlink r:id="rId7">
              <w:r w:rsidDel="00000000" w:rsidR="00000000" w:rsidRPr="00000000">
                <w:rPr>
                  <w:rFonts w:ascii="Times New Roman" w:cs="Times New Roman" w:eastAsia="Times New Roman" w:hAnsi="Times New Roman"/>
                  <w:color w:val="1155cc"/>
                  <w:sz w:val="24"/>
                  <w:szCs w:val="24"/>
                  <w:highlight w:val="yellow"/>
                  <w:u w:val="single"/>
                  <w:rtl w:val="0"/>
                </w:rPr>
                <w:t xml:space="preserve">5.3</w:t>
              </w:r>
            </w:hyperlink>
            <w:commentRangeEnd w:id="1"/>
            <w:r w:rsidDel="00000000" w:rsidR="00000000" w:rsidRPr="00000000">
              <w:commentReference w:id="1"/>
            </w:r>
            <w:r w:rsidDel="00000000" w:rsidR="00000000" w:rsidRPr="00000000">
              <w:rPr>
                <w:rtl w:val="0"/>
              </w:rPr>
            </w:r>
          </w:p>
        </w:tc>
        <w:tc>
          <w:tcPr>
            <w:shd w:fill="ff9900" w:val="clear"/>
            <w:vAlign w:val="center"/>
          </w:tcPr>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MÉDIA</w:t>
            </w:r>
          </w:p>
        </w:tc>
      </w:tr>
    </w:tbl>
    <w:p w:rsidR="00000000" w:rsidDel="00000000" w:rsidP="00000000" w:rsidRDefault="00000000" w:rsidRPr="00000000" w14:paraId="00000006">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Descrição</w:t>
      </w:r>
    </w:p>
    <w:p w:rsidR="00000000" w:rsidDel="00000000" w:rsidP="00000000" w:rsidRDefault="00000000" w:rsidRPr="00000000" w14:paraId="00000008">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Vulnerabilidades de </w:t>
      </w:r>
      <w:r w:rsidDel="00000000" w:rsidR="00000000" w:rsidRPr="00000000">
        <w:rPr>
          <w:rFonts w:ascii="Times New Roman" w:cs="Times New Roman" w:eastAsia="Times New Roman" w:hAnsi="Times New Roman"/>
          <w:i w:val="1"/>
          <w:iCs w:val="1"/>
          <w:sz w:val="24"/>
          <w:szCs w:val="24"/>
          <w:rtl w:val="0"/>
        </w:rPr>
        <w:t xml:space="preserve">Mass Assignment </w:t>
      </w:r>
      <w:r w:rsidDel="00000000" w:rsidR="00000000" w:rsidRPr="00000000">
        <w:rPr>
          <w:rFonts w:ascii="Times New Roman" w:cs="Times New Roman" w:eastAsia="Times New Roman" w:hAnsi="Times New Roman"/>
          <w:sz w:val="24"/>
          <w:szCs w:val="24"/>
          <w:rtl w:val="0"/>
        </w:rPr>
        <w:t xml:space="preserve">ocorrem quando uma aplicação permite que atributos de objetos sejam definidos a partir de entradas do usuário, sem realizar validações adequadas. Isso acontece geralmente em </w:t>
      </w:r>
      <w:r w:rsidDel="00000000" w:rsidR="00000000" w:rsidRPr="00000000">
        <w:rPr>
          <w:rFonts w:ascii="Times New Roman" w:cs="Times New Roman" w:eastAsia="Times New Roman" w:hAnsi="Times New Roman"/>
          <w:i w:val="1"/>
          <w:iCs w:val="1"/>
          <w:sz w:val="24"/>
          <w:szCs w:val="24"/>
          <w:rtl w:val="0"/>
        </w:rPr>
        <w:t xml:space="preserve">frameworks</w:t>
      </w:r>
      <w:r w:rsidDel="00000000" w:rsidR="00000000" w:rsidRPr="00000000">
        <w:rPr>
          <w:rFonts w:ascii="Times New Roman" w:cs="Times New Roman" w:eastAsia="Times New Roman" w:hAnsi="Times New Roman"/>
          <w:sz w:val="24"/>
          <w:szCs w:val="24"/>
          <w:rtl w:val="0"/>
        </w:rPr>
        <w:t xml:space="preserve"> que suportam a funcionalidade de atribuição em massa, onde todos os parâmetros recebidos são mapeados diretamente para os atributos de um objeto. Se a aplicação não restringir quais atributos podem ser alterados, um atacante pode manipular a solicitação para alterar propriedades sensíveis, como permissões de usuário, configurações de segurança ou dados críticos.</w:t>
      </w:r>
    </w:p>
    <w:p w:rsidR="00000000" w:rsidDel="00000000" w:rsidP="00000000" w:rsidRDefault="00000000" w:rsidRPr="00000000" w14:paraId="00000009">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vulnerabilidade é perigosa porque permite que invasores assumam controle sobre aspectos que normalmente não deveriam ser acessíveis. Por exemplo, um atacante pode modificar campos como "</w:t>
      </w:r>
      <w:r w:rsidDel="00000000" w:rsidR="00000000" w:rsidRPr="00000000">
        <w:rPr>
          <w:rFonts w:ascii="Times New Roman" w:cs="Times New Roman" w:eastAsia="Times New Roman" w:hAnsi="Times New Roman"/>
          <w:i w:val="1"/>
          <w:iCs w:val="1"/>
          <w:sz w:val="24"/>
          <w:szCs w:val="24"/>
          <w:rtl w:val="0"/>
        </w:rPr>
        <w:t xml:space="preserve">isAdmin</w:t>
      </w:r>
      <w:r w:rsidDel="00000000" w:rsidR="00000000" w:rsidRPr="00000000">
        <w:rPr>
          <w:rFonts w:ascii="Times New Roman" w:cs="Times New Roman" w:eastAsia="Times New Roman" w:hAnsi="Times New Roman"/>
          <w:sz w:val="24"/>
          <w:szCs w:val="24"/>
          <w:rtl w:val="0"/>
        </w:rPr>
        <w:t xml:space="preserve">" ou "</w:t>
      </w:r>
      <w:r w:rsidDel="00000000" w:rsidR="00000000" w:rsidRPr="00000000">
        <w:rPr>
          <w:rFonts w:ascii="Times New Roman" w:cs="Times New Roman" w:eastAsia="Times New Roman" w:hAnsi="Times New Roman"/>
          <w:i w:val="1"/>
          <w:iCs w:val="1"/>
          <w:sz w:val="24"/>
          <w:szCs w:val="24"/>
          <w:rtl w:val="0"/>
        </w:rPr>
        <w:t xml:space="preserve">price</w:t>
      </w:r>
      <w:r w:rsidDel="00000000" w:rsidR="00000000" w:rsidRPr="00000000">
        <w:rPr>
          <w:rFonts w:ascii="Times New Roman" w:cs="Times New Roman" w:eastAsia="Times New Roman" w:hAnsi="Times New Roman"/>
          <w:sz w:val="24"/>
          <w:szCs w:val="24"/>
          <w:rtl w:val="0"/>
        </w:rPr>
        <w:t xml:space="preserve">" ao enviar parâmetros inesperados, causando elevação de privilégio ou manipulação de preços. A falta de controles rigorosos na definição de atributos confiáveis é a principal causa dessa vulnerabilidade.</w:t>
      </w:r>
    </w:p>
    <w:p w:rsidR="00000000" w:rsidDel="00000000" w:rsidP="00000000" w:rsidRDefault="00000000" w:rsidRPr="00000000" w14:paraId="0000000A">
      <w:pPr>
        <w:spacing w:after="160" w:line="259" w:lineRule="auto"/>
        <w:jc w:val="both"/>
        <w:rPr>
          <w:rFonts w:ascii="Times New Roman" w:cs="Times New Roman" w:eastAsia="Times New Roman" w:hAnsi="Times New Roman"/>
          <w:sz w:val="24"/>
          <w:szCs w:val="24"/>
          <w:highlight w:val="yellow"/>
        </w:rPr>
      </w:pPr>
      <w:commentRangeStart w:id="2"/>
      <w:r w:rsidDel="00000000" w:rsidR="00000000" w:rsidRPr="00000000">
        <w:rPr>
          <w:rFonts w:ascii="Times New Roman" w:cs="Times New Roman" w:eastAsia="Times New Roman" w:hAnsi="Times New Roman"/>
          <w:sz w:val="24"/>
          <w:szCs w:val="24"/>
          <w:highlight w:val="yellow"/>
          <w:rtl w:val="0"/>
        </w:rPr>
        <w:t xml:space="preserve">Foi identificado na aplicação que, apesar de existir validação nos atributos permitidos no objeto do usuário ao atualizar seus dados, ainda é possível manipular o atributo específico “</w:t>
      </w:r>
      <w:r w:rsidDel="00000000" w:rsidR="00000000" w:rsidRPr="00000000">
        <w:rPr>
          <w:rFonts w:ascii="Times New Roman" w:cs="Times New Roman" w:eastAsia="Times New Roman" w:hAnsi="Times New Roman"/>
          <w:i w:val="1"/>
          <w:iCs w:val="1"/>
          <w:sz w:val="24"/>
          <w:szCs w:val="24"/>
          <w:highlight w:val="yellow"/>
          <w:rtl w:val="0"/>
        </w:rPr>
        <w:t xml:space="preserve">accountType</w:t>
      </w:r>
      <w:r w:rsidDel="00000000" w:rsidR="00000000" w:rsidRPr="00000000">
        <w:rPr>
          <w:rFonts w:ascii="Times New Roman" w:cs="Times New Roman" w:eastAsia="Times New Roman" w:hAnsi="Times New Roman"/>
          <w:sz w:val="24"/>
          <w:szCs w:val="24"/>
          <w:highlight w:val="yellow"/>
          <w:rtl w:val="0"/>
        </w:rPr>
        <w:t xml:space="preserve">”, o que permitiu alterar a conta do usuário de “</w:t>
      </w:r>
      <w:r w:rsidDel="00000000" w:rsidR="00000000" w:rsidRPr="00000000">
        <w:rPr>
          <w:rFonts w:ascii="Times New Roman" w:cs="Times New Roman" w:eastAsia="Times New Roman" w:hAnsi="Times New Roman"/>
          <w:i w:val="1"/>
          <w:iCs w:val="1"/>
          <w:sz w:val="24"/>
          <w:szCs w:val="24"/>
          <w:highlight w:val="yellow"/>
          <w:rtl w:val="0"/>
        </w:rPr>
        <w:t xml:space="preserve">Person</w:t>
      </w:r>
      <w:r w:rsidDel="00000000" w:rsidR="00000000" w:rsidRPr="00000000">
        <w:rPr>
          <w:rFonts w:ascii="Times New Roman" w:cs="Times New Roman" w:eastAsia="Times New Roman" w:hAnsi="Times New Roman"/>
          <w:sz w:val="24"/>
          <w:szCs w:val="24"/>
          <w:highlight w:val="yellow"/>
          <w:rtl w:val="0"/>
        </w:rPr>
        <w:t xml:space="preserve">” para o tipo “</w:t>
      </w:r>
      <w:r w:rsidDel="00000000" w:rsidR="00000000" w:rsidRPr="00000000">
        <w:rPr>
          <w:rFonts w:ascii="Times New Roman" w:cs="Times New Roman" w:eastAsia="Times New Roman" w:hAnsi="Times New Roman"/>
          <w:i w:val="1"/>
          <w:iCs w:val="1"/>
          <w:sz w:val="24"/>
          <w:szCs w:val="24"/>
          <w:highlight w:val="yellow"/>
          <w:rtl w:val="0"/>
        </w:rPr>
        <w:t xml:space="preserve">Company</w:t>
      </w:r>
      <w:r w:rsidDel="00000000" w:rsidR="00000000" w:rsidRPr="00000000">
        <w:rPr>
          <w:rFonts w:ascii="Times New Roman" w:cs="Times New Roman" w:eastAsia="Times New Roman" w:hAnsi="Times New Roman"/>
          <w:sz w:val="24"/>
          <w:szCs w:val="24"/>
          <w:highlight w:val="yellow"/>
          <w:rtl w:val="0"/>
        </w:rPr>
        <w:t xml:space="preserve">” caso o atacante adicione os atributos “</w:t>
      </w:r>
      <w:r w:rsidDel="00000000" w:rsidR="00000000" w:rsidRPr="00000000">
        <w:rPr>
          <w:rFonts w:ascii="Times New Roman" w:cs="Times New Roman" w:eastAsia="Times New Roman" w:hAnsi="Times New Roman"/>
          <w:i w:val="1"/>
          <w:iCs w:val="1"/>
          <w:sz w:val="24"/>
          <w:szCs w:val="24"/>
          <w:highlight w:val="yellow"/>
          <w:rtl w:val="0"/>
        </w:rPr>
        <w:t xml:space="preserve">companyName</w:t>
      </w:r>
      <w:r w:rsidDel="00000000" w:rsidR="00000000" w:rsidRPr="00000000">
        <w:rPr>
          <w:rFonts w:ascii="Times New Roman" w:cs="Times New Roman" w:eastAsia="Times New Roman" w:hAnsi="Times New Roman"/>
          <w:sz w:val="24"/>
          <w:szCs w:val="24"/>
          <w:highlight w:val="yellow"/>
          <w:rtl w:val="0"/>
        </w:rPr>
        <w:t xml:space="preserve">” e “</w:t>
      </w:r>
      <w:r w:rsidDel="00000000" w:rsidR="00000000" w:rsidRPr="00000000">
        <w:rPr>
          <w:rFonts w:ascii="Times New Roman" w:cs="Times New Roman" w:eastAsia="Times New Roman" w:hAnsi="Times New Roman"/>
          <w:i w:val="1"/>
          <w:iCs w:val="1"/>
          <w:sz w:val="24"/>
          <w:szCs w:val="24"/>
          <w:highlight w:val="yellow"/>
          <w:rtl w:val="0"/>
        </w:rPr>
        <w:t xml:space="preserve">cnpj</w:t>
      </w:r>
      <w:r w:rsidDel="00000000" w:rsidR="00000000" w:rsidRPr="00000000">
        <w:rPr>
          <w:rFonts w:ascii="Times New Roman" w:cs="Times New Roman" w:eastAsia="Times New Roman" w:hAnsi="Times New Roman"/>
          <w:sz w:val="24"/>
          <w:szCs w:val="24"/>
          <w:highlight w:val="yellow"/>
          <w:rtl w:val="0"/>
        </w:rPr>
        <w:t xml:space="preserve">” para o objeto da conta de usuário. Apesar disso, não foi possível identificar alguma forma de utilizar o novo tipo de conta para acessar funcionalidades diferentes da aplicação. Porém, caso a vulnerabilidade não seja mitigada, ela pode se tornar um problema em funcionalidades que utilizem o tipo de conta do usuário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0B">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Referências</w:t>
      </w:r>
    </w:p>
    <w:p w:rsidR="00000000" w:rsidDel="00000000" w:rsidP="00000000" w:rsidRDefault="00000000" w:rsidRPr="00000000" w14:paraId="0000000D">
      <w:pPr>
        <w:numPr>
          <w:ilvl w:val="0"/>
          <w:numId w:val="3"/>
        </w:numPr>
        <w:spacing w:after="0" w:afterAutospacing="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CWE</w:t>
      </w:r>
    </w:p>
    <w:p w:rsidR="00000000" w:rsidDel="00000000" w:rsidP="00000000" w:rsidRDefault="00000000" w:rsidRPr="00000000" w14:paraId="0000000E">
      <w:pPr>
        <w:numPr>
          <w:ilvl w:val="1"/>
          <w:numId w:val="3"/>
        </w:numPr>
        <w:spacing w:after="0" w:afterAutospacing="0" w:line="259" w:lineRule="auto"/>
        <w:ind w:left="1440" w:hanging="360"/>
        <w:jc w:val="both"/>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CWE-915: Improperly Controlled Modification of Dynamically-Determined Object Attributes</w:t>
        </w:r>
      </w:hyperlink>
      <w:r w:rsidDel="00000000" w:rsidR="00000000" w:rsidRPr="00000000">
        <w:rPr>
          <w:rtl w:val="0"/>
        </w:rPr>
      </w:r>
    </w:p>
    <w:p w:rsidR="00000000" w:rsidDel="00000000" w:rsidP="00000000" w:rsidRDefault="00000000" w:rsidRPr="00000000" w14:paraId="0000000F">
      <w:pPr>
        <w:numPr>
          <w:ilvl w:val="0"/>
          <w:numId w:val="3"/>
        </w:numPr>
        <w:spacing w:after="0" w:afterAutospacing="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OWASP API</w:t>
      </w:r>
    </w:p>
    <w:p w:rsidR="00000000" w:rsidDel="00000000" w:rsidP="00000000" w:rsidRDefault="00000000" w:rsidRPr="00000000" w14:paraId="00000010">
      <w:pPr>
        <w:numPr>
          <w:ilvl w:val="1"/>
          <w:numId w:val="3"/>
        </w:numPr>
        <w:spacing w:after="160" w:line="259" w:lineRule="auto"/>
        <w:ind w:left="1440" w:hanging="360"/>
        <w:jc w:val="both"/>
        <w:rPr>
          <w:rFonts w:ascii="Times New Roman" w:cs="Times New Roman" w:eastAsia="Times New Roman" w:hAnsi="Times New Roman"/>
          <w:sz w:val="24"/>
          <w:szCs w:val="24"/>
        </w:rPr>
      </w:pPr>
      <w:hyperlink r:id="rId9">
        <w:r w:rsidDel="00000000" w:rsidR="00000000" w:rsidRPr="00000000">
          <w:rPr>
            <w:rFonts w:ascii="Times New Roman" w:cs="Times New Roman" w:eastAsia="Times New Roman" w:hAnsi="Times New Roman"/>
            <w:color w:val="1155cc"/>
            <w:sz w:val="24"/>
            <w:szCs w:val="24"/>
            <w:u w:val="single"/>
            <w:rtl w:val="0"/>
          </w:rPr>
          <w:t xml:space="preserve">API6:2019 - Mass Assignment</w:t>
        </w:r>
      </w:hyperlink>
      <w:r w:rsidDel="00000000" w:rsidR="00000000" w:rsidRPr="00000000">
        <w:rPr>
          <w:rtl w:val="0"/>
        </w:rPr>
      </w:r>
    </w:p>
    <w:p w:rsidR="00000000" w:rsidDel="00000000" w:rsidP="00000000" w:rsidRDefault="00000000" w:rsidRPr="00000000" w14:paraId="00000011">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Ativos Vulneráveis</w:t>
      </w:r>
    </w:p>
    <w:p w:rsidR="00000000" w:rsidDel="00000000" w:rsidP="00000000" w:rsidRDefault="00000000" w:rsidRPr="00000000" w14:paraId="00000013">
      <w:pPr>
        <w:numPr>
          <w:ilvl w:val="0"/>
          <w:numId w:val="4"/>
        </w:numPr>
        <w:spacing w:after="160" w:line="259"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xxxxxxxxxxxxx</w:t>
      </w:r>
      <w:r w:rsidDel="00000000" w:rsidR="00000000" w:rsidRPr="00000000">
        <w:rPr>
          <w:rtl w:val="0"/>
        </w:rPr>
      </w:r>
    </w:p>
    <w:p w:rsidR="00000000" w:rsidDel="00000000" w:rsidP="00000000" w:rsidRDefault="00000000" w:rsidRPr="00000000" w14:paraId="00000014">
      <w:pPr>
        <w:spacing w:after="160" w:line="259"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5">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Recomendação</w:t>
      </w:r>
    </w:p>
    <w:p w:rsidR="00000000" w:rsidDel="00000000" w:rsidP="00000000" w:rsidRDefault="00000000" w:rsidRPr="00000000" w14:paraId="00000016">
      <w:pPr>
        <w:spacing w:after="160" w:line="259"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mitigar a vulnerabilidade é essencial implementar listas de permissões explícitas (</w:t>
      </w:r>
      <w:r w:rsidDel="00000000" w:rsidR="00000000" w:rsidRPr="00000000">
        <w:rPr>
          <w:rFonts w:ascii="Times New Roman" w:cs="Times New Roman" w:eastAsia="Times New Roman" w:hAnsi="Times New Roman"/>
          <w:i w:val="1"/>
          <w:iCs w:val="1"/>
          <w:sz w:val="24"/>
          <w:szCs w:val="24"/>
          <w:rtl w:val="0"/>
        </w:rPr>
        <w:t xml:space="preserve">whitelists</w:t>
      </w:r>
      <w:r w:rsidDel="00000000" w:rsidR="00000000" w:rsidRPr="00000000">
        <w:rPr>
          <w:rFonts w:ascii="Times New Roman" w:cs="Times New Roman" w:eastAsia="Times New Roman" w:hAnsi="Times New Roman"/>
          <w:sz w:val="24"/>
          <w:szCs w:val="24"/>
          <w:rtl w:val="0"/>
        </w:rPr>
        <w:t xml:space="preserve">) para os atributos que podem ser atribuídos em massa, garantindo que somente propriedades seguras sejam modificáveis. Além disso, é recomendado que se evite utilizar diretamente métodos de atribuição em massa para dados provenientes de fontes externas, como requisições de usuários. Configure explicitamente os atributos permitidos nos modelos ou nas classes responsáveis. Também é recomendado validar e sanitizar todos os dados de entrada, além de monitorar e registrar alterações em propriedades sensíveis para detectar possíveis abusos.</w:t>
      </w:r>
    </w:p>
    <w:p w:rsidR="00000000" w:rsidDel="00000000" w:rsidP="00000000" w:rsidRDefault="00000000" w:rsidRPr="00000000" w14:paraId="00000017">
      <w:pPr>
        <w:spacing w:after="160" w:line="259"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after="160" w:line="259"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Mais Informações</w:t>
      </w:r>
    </w:p>
    <w:p w:rsidR="00000000" w:rsidDel="00000000" w:rsidP="00000000" w:rsidRDefault="00000000" w:rsidRPr="00000000" w14:paraId="00000019">
      <w:pPr>
        <w:numPr>
          <w:ilvl w:val="0"/>
          <w:numId w:val="2"/>
        </w:numPr>
        <w:spacing w:after="0" w:afterAutospacing="0" w:line="259" w:lineRule="auto"/>
        <w:ind w:left="720" w:hanging="360"/>
        <w:jc w:val="both"/>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color w:val="1155cc"/>
            <w:sz w:val="24"/>
            <w:szCs w:val="24"/>
            <w:u w:val="single"/>
            <w:rtl w:val="0"/>
          </w:rPr>
          <w:t xml:space="preserve">Snyk - Mass Assignment</w:t>
        </w:r>
      </w:hyperlink>
      <w:r w:rsidDel="00000000" w:rsidR="00000000" w:rsidRPr="00000000">
        <w:rPr>
          <w:rtl w:val="0"/>
        </w:rPr>
      </w:r>
    </w:p>
    <w:p w:rsidR="00000000" w:rsidDel="00000000" w:rsidP="00000000" w:rsidRDefault="00000000" w:rsidRPr="00000000" w14:paraId="0000001A">
      <w:pPr>
        <w:numPr>
          <w:ilvl w:val="0"/>
          <w:numId w:val="2"/>
        </w:numPr>
        <w:spacing w:after="0" w:afterAutospacing="0" w:line="259" w:lineRule="auto"/>
        <w:ind w:left="720" w:hanging="360"/>
        <w:jc w:val="both"/>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color w:val="1155cc"/>
            <w:sz w:val="24"/>
            <w:szCs w:val="24"/>
            <w:u w:val="single"/>
            <w:rtl w:val="0"/>
          </w:rPr>
          <w:t xml:space="preserve">OWASP - Mass Assignment Cheat Sheet</w:t>
        </w:r>
      </w:hyperlink>
      <w:r w:rsidDel="00000000" w:rsidR="00000000" w:rsidRPr="00000000">
        <w:rPr>
          <w:rtl w:val="0"/>
        </w:rPr>
      </w:r>
    </w:p>
    <w:p w:rsidR="00000000" w:rsidDel="00000000" w:rsidP="00000000" w:rsidRDefault="00000000" w:rsidRPr="00000000" w14:paraId="0000001B">
      <w:pPr>
        <w:numPr>
          <w:ilvl w:val="0"/>
          <w:numId w:val="2"/>
        </w:numPr>
        <w:spacing w:after="160" w:line="259" w:lineRule="auto"/>
        <w:ind w:left="720" w:hanging="360"/>
        <w:jc w:val="both"/>
        <w:rPr>
          <w:rFonts w:ascii="Times New Roman" w:cs="Times New Roman" w:eastAsia="Times New Roman" w:hAnsi="Times New Roman"/>
          <w:sz w:val="24"/>
          <w:szCs w:val="24"/>
          <w:highlight w:val="yellow"/>
        </w:rPr>
      </w:pPr>
      <w:commentRangeStart w:id="3"/>
      <w:hyperlink r:id="rId12">
        <w:r w:rsidDel="00000000" w:rsidR="00000000" w:rsidRPr="00000000">
          <w:rPr>
            <w:rFonts w:ascii="Times New Roman" w:cs="Times New Roman" w:eastAsia="Times New Roman" w:hAnsi="Times New Roman"/>
            <w:color w:val="1155cc"/>
            <w:sz w:val="24"/>
            <w:szCs w:val="24"/>
            <w:highlight w:val="yellow"/>
            <w:u w:val="single"/>
            <w:rtl w:val="0"/>
          </w:rPr>
          <w:t xml:space="preserve">Ruby on Rails - Mass Assignment</w:t>
        </w:r>
      </w:hyperlink>
      <w:commentRangeEnd w:id="3"/>
      <w:r w:rsidDel="00000000" w:rsidR="00000000" w:rsidRPr="00000000">
        <w:commentReference w:id="3"/>
      </w: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eleted user" w:id="3" w:date="2025-01-06T20:37:15Z">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alterar conforme a framework do cliente</w:t>
      </w:r>
    </w:p>
  </w:comment>
  <w:comment w:author="Deleted user" w:id="2" w:date="2025-01-06T20:37:36Z">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alterar conforme o caso do cliente</w:t>
      </w:r>
    </w:p>
  </w:comment>
  <w:comment w:author="Deleted user" w:id="0" w:date="2025-01-06T20:37:52Z">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alterar conforme o caso do cliente</w:t>
      </w:r>
    </w:p>
  </w:comment>
  <w:comment w:author="Deleted user" w:id="1" w:date="2025-01-06T20:38:18Z">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alterar impacto com base no que foi possível fazer com o mass assignment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yperlink" Target="https://cheatsheetseries.owasp.org/cheatsheets/Mass_Assignment_Cheat_Sheet.html" TargetMode="External"/><Relationship Id="rId10" Type="http://schemas.openxmlformats.org/officeDocument/2006/relationships/hyperlink" Target="https://learn.snyk.io/lesson/mass-assignment/" TargetMode="External"/><Relationship Id="rId12" Type="http://schemas.openxmlformats.org/officeDocument/2006/relationships/hyperlink" Target="https://guides.rubyonrails.org/v3.2.9/security.html#mass-assignment" TargetMode="External"/><Relationship Id="rId9" Type="http://schemas.openxmlformats.org/officeDocument/2006/relationships/hyperlink" Target="https://owasp.org/API-Security/editions/2019/en/0xa6-mass-assignmen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first.org/cvss/calculator/4.0#CVSS:4.0/AV:N/AC:L/AT:N/PR:L/UI:N/VC:N/VI:L/VA:N/SC:N/SI:N/SA:N" TargetMode="External"/><Relationship Id="rId8" Type="http://schemas.openxmlformats.org/officeDocument/2006/relationships/hyperlink" Target="https://cwe.mitre.org/data/definitions/91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