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5" w:top="1701" w:left="0" w:right="4.488188976378638" w:header="720" w:footer="720"/>
          <w:pgNumType w:start="1"/>
        </w:sectPr>
      </w:pPr>
      <w:bookmarkStart w:colFirst="0" w:colLast="0" w:name="_9bua1s4i0x7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6e36"/>
          <w:sz w:val="36"/>
          <w:szCs w:val="36"/>
          <w:u w:val="none"/>
          <w:shd w:fill="auto" w:val="clear"/>
          <w:vertAlign w:val="baseline"/>
          <w:rtl w:val="0"/>
        </w:rPr>
        <w:t xml:space="preserve">Prova de 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jc w:val="center"/>
        <w:rPr>
          <w:rFonts w:ascii="Roboto Light" w:cs="Roboto Light" w:eastAsia="Roboto Light" w:hAnsi="Roboto Light"/>
          <w:color w:val="b5f5f2"/>
          <w:sz w:val="28"/>
          <w:szCs w:val="28"/>
        </w:rPr>
      </w:pPr>
      <w:r w:rsidDel="00000000" w:rsidR="00000000" w:rsidRPr="00000000">
        <w:rPr>
          <w:rFonts w:ascii="Roboto Light" w:cs="Roboto Light" w:eastAsia="Roboto Light" w:hAnsi="Roboto Light"/>
          <w:color w:val="b5f5f2"/>
          <w:sz w:val="28"/>
          <w:szCs w:val="28"/>
          <w:rtl w:val="0"/>
        </w:rPr>
        <w:t xml:space="preserve">DD/MM/AAAA</w:t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Fonts w:ascii="Arial" w:cs="Arial" w:eastAsia="Arial" w:hAnsi="Arial"/>
          <w:color w:val="b5f5f2"/>
          <w:sz w:val="22"/>
          <w:szCs w:val="22"/>
        </w:rPr>
        <w:drawing>
          <wp:inline distB="19050" distT="19050" distL="19050" distR="19050">
            <wp:extent cx="3206588" cy="1095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6588" cy="109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="240" w:lineRule="auto"/>
        <w:jc w:val="left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jc w:val="center"/>
        <w:rPr>
          <w:rFonts w:ascii="Roboto Medium" w:cs="Roboto Medium" w:eastAsia="Roboto Medium" w:hAnsi="Roboto Medium"/>
          <w:color w:val="ffffff"/>
          <w:sz w:val="64"/>
          <w:szCs w:val="64"/>
        </w:rPr>
      </w:pPr>
      <w:r w:rsidDel="00000000" w:rsidR="00000000" w:rsidRPr="00000000">
        <w:rPr>
          <w:rFonts w:ascii="Roboto Medium" w:cs="Roboto Medium" w:eastAsia="Roboto Medium" w:hAnsi="Roboto Medium"/>
          <w:color w:val="ffffff"/>
          <w:sz w:val="64"/>
          <w:szCs w:val="64"/>
          <w:rtl w:val="0"/>
        </w:rPr>
        <w:t xml:space="preserve">Informe de Vulnerabilidade</w:t>
      </w:r>
    </w:p>
    <w:p w:rsidR="00000000" w:rsidDel="00000000" w:rsidP="00000000" w:rsidRDefault="00000000" w:rsidRPr="00000000" w14:paraId="00000010">
      <w:pPr>
        <w:widowControl w:val="0"/>
        <w:spacing w:after="0" w:line="240" w:lineRule="auto"/>
        <w:jc w:val="center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type w:val="nextPage"/>
          <w:pgSz w:h="16838" w:w="11906" w:orient="portrait"/>
          <w:pgMar w:bottom="1135" w:top="1701" w:left="0" w:right="4.488188976378638" w:header="0" w:footer="34.01574803149607"/>
          <w:pgNumType w:start="1"/>
          <w:titlePg w:val="1"/>
        </w:sectPr>
      </w:pPr>
      <w:r w:rsidDel="00000000" w:rsidR="00000000" w:rsidRPr="00000000">
        <w:rPr>
          <w:rFonts w:ascii="Roboto Light" w:cs="Roboto Light" w:eastAsia="Roboto Light" w:hAnsi="Roboto Light"/>
          <w:color w:val="ffffff"/>
          <w:sz w:val="48"/>
          <w:szCs w:val="48"/>
          <w:rtl w:val="0"/>
        </w:rPr>
        <w:t xml:space="preserve">Segurança Ofensiva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ind w:left="0" w:firstLine="0"/>
        <w:rPr>
          <w:sz w:val="26"/>
          <w:szCs w:val="26"/>
        </w:rPr>
      </w:pPr>
      <w:bookmarkStart w:colFirst="0" w:colLast="0" w:name="_kwh94enqwhq3" w:id="1"/>
      <w:bookmarkEnd w:id="1"/>
      <w:r w:rsidDel="00000000" w:rsidR="00000000" w:rsidRPr="00000000">
        <w:rPr>
          <w:sz w:val="26"/>
          <w:szCs w:val="26"/>
          <w:rtl w:val="0"/>
        </w:rPr>
        <w:t xml:space="preserve">Falta de Validação de Assinatura de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Tokens</w:t>
      </w:r>
      <w:r w:rsidDel="00000000" w:rsidR="00000000" w:rsidRPr="00000000">
        <w:rPr>
          <w:sz w:val="26"/>
          <w:szCs w:val="26"/>
          <w:rtl w:val="0"/>
        </w:rPr>
        <w:t xml:space="preserve"> JWT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CVSS v4.0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ind w:left="0" w:firstLine="0"/>
        <w:rPr>
          <w:sz w:val="26"/>
          <w:szCs w:val="26"/>
        </w:rPr>
      </w:pPr>
      <w:bookmarkStart w:colFirst="0" w:colLast="0" w:name="_yf2130fy05h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Descrição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falta de validação adequada da assinatura de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JWT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JSON Web Token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é uma vulnerabilidade que ocorre quando uma aplicação aceita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sem verificar se foram assinados por uma fonte confiável ou se a assinatura é válida.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são comumente usados para autenticação e controle de sessão, e sua integridade depende da assinatura criptográfica que garante que o conteúdo não foi alterado. Quando essa validação é negligenciada ou implementada de forma incorreta, um atacante pode criar ou modificar tokens arbitrariamente, assumindo a identidade de outros usuários ou elevando seus privilégios.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falha compromete diretamente o modelo de confiança do mecanismo de autenticação baseado em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. Com a ausência de verificação da assinatura, o servidor passa a confiar em qualquer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fornecido pelo cliente, abrindo espaço para acessos indevidos, exposição de dados sensíveis e possíveis ações administrativas não autorizadas. Em cenários mais graves, o atacante pode obter controle total sobre contas privilegiadas, modificar informações críticas ou comprometer toda a aplicação. A exploração dessa vulnerabilidade não exige, em geral, conhecimento avançado nem acesso privilegiado ao sistema, o que aumenta significativamente o risco associado.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Inserir as informações a respeito da vulnerabilidade específica encontrada.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Referências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CWE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CWE-347: Improper Verification of Cryptographic Signature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Ativos Vulneráveis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N/A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Recomendação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É recomendado que a aplicação valide rigorosamente a assinatura de todos os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JWT</w:t>
      </w:r>
      <w:r w:rsidDel="00000000" w:rsidR="00000000" w:rsidRPr="00000000">
        <w:rPr>
          <w:rtl w:val="0"/>
        </w:rPr>
        <w:t xml:space="preserve"> recebidos e em todos os pontos onde são utilizados, utilizando o algoritmo e a chave criptográfica corretos configurados no servidor. O processo de validação deve garantir que apenas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emitidos por uma fonte confiável e assinados com a chave legítima sejam aceitos. Além disso, deve-se evitar permitir algoritmos inseguros ou a opção 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none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, e rejeitar </w:t>
      </w:r>
      <w:r w:rsidDel="00000000" w:rsidR="00000000" w:rsidRPr="00000000">
        <w:rPr>
          <w:i w:val="1"/>
          <w:i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 que apresentem qualquer inconsistência na assinatura, no cabeçalho ou nas reivindicações (</w:t>
      </w:r>
      <w:r w:rsidDel="00000000" w:rsidR="00000000" w:rsidRPr="00000000">
        <w:rPr>
          <w:i w:val="1"/>
          <w:iCs w:val="1"/>
          <w:rtl w:val="0"/>
        </w:rPr>
        <w:t xml:space="preserve">claims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Informações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JWT Null Signature - VulnAPI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Evidências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N/A</w:t>
      </w:r>
    </w:p>
    <w:sectPr>
      <w:headerReference r:id="rId13" w:type="default"/>
      <w:headerReference r:id="rId14" w:type="first"/>
      <w:footerReference r:id="rId15" w:type="default"/>
      <w:footerReference r:id="rId16" w:type="first"/>
      <w:type w:val="nextPage"/>
      <w:pgSz w:h="16838" w:w="11906" w:orient="portrait"/>
      <w:pgMar w:bottom="1133.8582677165355" w:top="1700.7874015748032" w:left="1700.7874015748032" w:right="1133.8582677165355" w:header="141.73228346456693" w:footer="56.6929133858267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Georgia"/>
  <w:font w:name="Arial"/>
  <w:font w:name="Calibri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252"/>
        <w:tab w:val="right" w:leader="none" w:pos="10194.212598425198"/>
      </w:tabs>
      <w:spacing w:after="0" w:line="240" w:lineRule="auto"/>
      <w:ind w:left="-1695" w:right="-1129.7244094488178" w:firstLine="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tabs>
        <w:tab w:val="center" w:leader="none" w:pos="4252"/>
        <w:tab w:val="right" w:leader="none" w:pos="10194.212598425198"/>
      </w:tabs>
      <w:spacing w:after="0" w:line="240" w:lineRule="auto"/>
      <w:ind w:left="-1695" w:right="-1129.7244094488178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-1104899</wp:posOffset>
          </wp:positionH>
          <wp:positionV relativeFrom="paragraph">
            <wp:posOffset>142875</wp:posOffset>
          </wp:positionV>
          <wp:extent cx="7637756" cy="790575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-329" t="0"/>
                  <a:stretch>
                    <a:fillRect/>
                  </a:stretch>
                </pic:blipFill>
                <pic:spPr>
                  <a:xfrm>
                    <a:off x="0" y="0"/>
                    <a:ext cx="7637756" cy="790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tabs>
        <w:tab w:val="center" w:leader="none" w:pos="4252"/>
        <w:tab w:val="right" w:leader="none" w:pos="10194.212598425198"/>
      </w:tabs>
      <w:spacing w:after="0" w:line="240" w:lineRule="auto"/>
      <w:ind w:left="-1695" w:right="-1129.7244094488178" w:firstLine="0"/>
      <w:jc w:val="center"/>
      <w:rPr>
        <w:rFonts w:ascii="Arial" w:cs="Arial" w:eastAsia="Arial" w:hAnsi="Arial"/>
        <w:color w:val="f3f3f3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f3f3f3"/>
        <w:sz w:val="20"/>
        <w:szCs w:val="20"/>
        <w:rtl w:val="0"/>
      </w:rPr>
      <w:t xml:space="preserve">Clavis Segurança da Informação</w:t>
    </w:r>
  </w:p>
  <w:p w:rsidR="00000000" w:rsidDel="00000000" w:rsidP="00000000" w:rsidRDefault="00000000" w:rsidRPr="00000000" w14:paraId="0000002D">
    <w:pPr>
      <w:tabs>
        <w:tab w:val="center" w:leader="none" w:pos="4252"/>
        <w:tab w:val="right" w:leader="none" w:pos="10194.212598425198"/>
      </w:tabs>
      <w:spacing w:after="0" w:line="240" w:lineRule="auto"/>
      <w:ind w:left="-1695" w:right="-1129.7244094488178" w:firstLine="0"/>
      <w:jc w:val="center"/>
      <w:rPr>
        <w:rFonts w:ascii="Arial" w:cs="Arial" w:eastAsia="Arial" w:hAnsi="Arial"/>
        <w:color w:val="f3f3f3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f3f3f3"/>
        <w:sz w:val="20"/>
        <w:szCs w:val="20"/>
        <w:rtl w:val="0"/>
      </w:rPr>
      <w:t xml:space="preserve">www.clavis.com.br</w:t>
    </w:r>
  </w:p>
  <w:p w:rsidR="00000000" w:rsidDel="00000000" w:rsidP="00000000" w:rsidRDefault="00000000" w:rsidRPr="00000000" w14:paraId="0000002E">
    <w:pPr>
      <w:tabs>
        <w:tab w:val="center" w:leader="none" w:pos="4252"/>
        <w:tab w:val="right" w:leader="none" w:pos="10194.212598425198"/>
      </w:tabs>
      <w:spacing w:after="0" w:line="240" w:lineRule="auto"/>
      <w:ind w:left="-1695" w:right="-1129.7244094488178" w:firstLine="0"/>
      <w:jc w:val="center"/>
      <w:rPr>
        <w:rFonts w:ascii="Arial" w:cs="Arial" w:eastAsia="Arial" w:hAnsi="Arial"/>
        <w:color w:val="f3f3f3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tabs>
        <w:tab w:val="center" w:leader="none" w:pos="4252"/>
        <w:tab w:val="right" w:leader="none" w:pos="10194.212598425198"/>
      </w:tabs>
      <w:spacing w:after="0" w:line="240" w:lineRule="auto"/>
      <w:ind w:left="-1695" w:right="-1129.7244094488178" w:firstLine="0"/>
      <w:jc w:val="center"/>
      <w:rPr>
        <w:rFonts w:ascii="Arial" w:cs="Arial" w:eastAsia="Arial" w:hAnsi="Arial"/>
        <w:color w:val="f3f3f3"/>
        <w:sz w:val="20"/>
        <w:szCs w:val="20"/>
      </w:rPr>
    </w:pPr>
    <w:r w:rsidDel="00000000" w:rsidR="00000000" w:rsidRPr="00000000">
      <w:rPr>
        <w:rFonts w:ascii="Arial" w:cs="Arial" w:eastAsia="Arial" w:hAnsi="Arial"/>
        <w:color w:val="f3f3f3"/>
        <w:sz w:val="20"/>
        <w:szCs w:val="20"/>
        <w:rtl w:val="0"/>
      </w:rPr>
      <w:t xml:space="preserve">Rua Aloísio Teixeira, 278 - Prédio 3 - Sala 307 - Parque Tecnológico UFRJ - Rio de Janeiro - RJ - Brasil - CEP 21.941.850</w:t>
    </w:r>
  </w:p>
  <w:p w:rsidR="00000000" w:rsidDel="00000000" w:rsidP="00000000" w:rsidRDefault="00000000" w:rsidRPr="00000000" w14:paraId="00000030">
    <w:pPr>
      <w:tabs>
        <w:tab w:val="center" w:leader="none" w:pos="4252"/>
        <w:tab w:val="right" w:leader="none" w:pos="10194.212598425198"/>
      </w:tabs>
      <w:spacing w:after="0" w:line="240" w:lineRule="auto"/>
      <w:ind w:left="-1695" w:right="-1129.7244094488178" w:firstLine="0"/>
      <w:jc w:val="center"/>
      <w:rPr/>
    </w:pPr>
    <w:r w:rsidDel="00000000" w:rsidR="00000000" w:rsidRPr="00000000">
      <w:rPr>
        <w:rFonts w:ascii="Arial" w:cs="Arial" w:eastAsia="Arial" w:hAnsi="Arial"/>
        <w:color w:val="f3f3f3"/>
        <w:sz w:val="20"/>
        <w:szCs w:val="20"/>
        <w:rtl w:val="0"/>
      </w:rPr>
      <w:t xml:space="preserve">Telefones: +55 (21) 2561-0867 | +55 (21) 2210-6061 | 4020-1702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tabs>
        <w:tab w:val="center" w:leader="none" w:pos="4252"/>
        <w:tab w:val="right" w:leader="none" w:pos="8504"/>
        <w:tab w:val="left" w:leader="none" w:pos="5640"/>
      </w:tabs>
      <w:spacing w:after="0" w:line="240" w:lineRule="auto"/>
      <w:jc w:val="lef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ind w:left="283.46456692913375" w:firstLine="0"/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3675</wp:posOffset>
              </wp:positionH>
              <wp:positionV relativeFrom="page">
                <wp:posOffset>4275</wp:posOffset>
              </wp:positionV>
              <wp:extent cx="7591425" cy="107039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1425" cy="10703925"/>
                        <a:chOff x="0" y="0"/>
                        <a:chExt cx="5130450" cy="7255200"/>
                      </a:xfrm>
                    </wpg:grpSpPr>
                    <pic:pic>
                      <pic:nvPicPr>
                        <pic:cNvPr id="2" name="Shape 2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39" l="0" r="0" t="39"/>
                        <a:stretch/>
                      </pic:blipFill>
                      <pic:spPr>
                        <a:xfrm>
                          <a:off x="0" y="0"/>
                          <a:ext cx="5130440" cy="72551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3675</wp:posOffset>
              </wp:positionH>
              <wp:positionV relativeFrom="page">
                <wp:posOffset>4275</wp:posOffset>
              </wp:positionV>
              <wp:extent cx="7591425" cy="10703925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1425" cy="10703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-21974</wp:posOffset>
          </wp:positionH>
          <wp:positionV relativeFrom="page">
            <wp:posOffset>2381</wp:posOffset>
          </wp:positionV>
          <wp:extent cx="7591425" cy="854381"/>
          <wp:effectExtent b="0" l="0" r="0" t="0"/>
          <wp:wrapNone/>
          <wp:docPr id="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91425" cy="85438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pict>
        <v:shape id="PowerPlusWaterMarkObject3" style="position:absolute;width:684.6749267578125pt;height:108.0pt;rotation:315;z-index:-503316481;mso-position-horizontal-relative:margin;mso-position-horizontal:center;mso-position-vertical-relative:margin;mso-position-vertical:center;" fillcolor="#e8eaed" stroked="f" type="#_x0000_t136">
          <v:fill angle="0" opacity="40632f"/>
          <v:textpath fitshape="t" string="CONFIDENCIAL" style="font-family:&amp;quot;Merriweather&amp;quot;;font-size:90.0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tabs>
        <w:tab w:val="center" w:leader="none" w:pos="4252"/>
        <w:tab w:val="right" w:leader="none" w:pos="8504"/>
        <w:tab w:val="right" w:leader="none" w:pos="8931"/>
      </w:tabs>
      <w:spacing w:after="0" w:before="240" w:line="240" w:lineRule="auto"/>
      <w:rPr/>
    </w:pPr>
    <w:r w:rsidDel="00000000" w:rsidR="00000000" w:rsidRPr="00000000">
      <w:rPr/>
      <w:pict>
        <v:shape id="PowerPlusWaterMarkObject2" style="position:absolute;width:684.6749267578125pt;height:108.0pt;rotation:315;z-index:-503316481;mso-position-horizontal-relative:margin;mso-position-horizontal:center;mso-position-vertical-relative:margin;mso-position-vertical:center;" fillcolor="#e8eaed" stroked="f" type="#_x0000_t136">
          <v:fill angle="0" opacity="40632f"/>
          <v:textpath fitshape="t" string="CONFIDENCIAL" style="font-family:&amp;quot;Merriweather&amp;quot;;font-size:90.0pt;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19050</wp:posOffset>
          </wp:positionH>
          <wp:positionV relativeFrom="page">
            <wp:posOffset>23813</wp:posOffset>
          </wp:positionV>
          <wp:extent cx="7553325" cy="10644188"/>
          <wp:effectExtent b="0" l="0" r="0" t="0"/>
          <wp:wrapNone/>
          <wp:docPr id="5" name="image5.jpg"/>
          <a:graphic>
            <a:graphicData uri="http://schemas.openxmlformats.org/drawingml/2006/picture">
              <pic:pic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3325" cy="106441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/>
      <w:pict>
        <v:shape id="PowerPlusWaterMarkObject1" style="position:absolute;width:684.6749267578125pt;height:108.0pt;rotation:315;z-index:-503316481;mso-position-horizontal-relative:margin;mso-position-horizontal:center;mso-position-vertical-relative:margin;mso-position-vertical:center;" fillcolor="#e8eaed" stroked="f" type="#_x0000_t136">
          <v:fill angle="0" opacity="40632f"/>
          <v:textpath fitshape="t" string="CONFIDENCIAL" style="font-family:&amp;quot;Merriweather&amp;quot;;font-size:90.0pt;"/>
        </v:shape>
      </w:pict>
    </w: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-35999</wp:posOffset>
          </wp:positionH>
          <wp:positionV relativeFrom="margin">
            <wp:posOffset>-1116134</wp:posOffset>
          </wp:positionV>
          <wp:extent cx="7668000" cy="1080000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9" l="0" r="0" t="209"/>
                  <a:stretch>
                    <a:fillRect/>
                  </a:stretch>
                </pic:blipFill>
                <pic:spPr>
                  <a:xfrm>
                    <a:off x="0" y="0"/>
                    <a:ext cx="7668000" cy="1080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276" w:lineRule="auto"/>
      <w:ind w:left="567"/>
      <w:jc w:val="both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line="276" w:lineRule="auto"/>
      <w:ind w:left="708.6614173228347" w:hanging="36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76" w:lineRule="auto"/>
      <w:ind w:left="708.6614173228347" w:hanging="425.19685039370086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jc w:val="center"/>
    </w:pPr>
    <w:rPr>
      <w:rFonts w:ascii="Times New Roman" w:cs="Times New Roman" w:eastAsia="Times New Roman" w:hAnsi="Times New Roman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mbria" w:cs="Cambria" w:eastAsia="Cambria" w:hAnsi="Cambria"/>
      <w:i w:val="1"/>
      <w:iCs w:val="1"/>
      <w:color w:val="243f60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b w:val="1"/>
      <w:bCs w:val="1"/>
      <w:color w:val="3e6e36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we.mitre.org/data/definitions/347.html" TargetMode="External"/><Relationship Id="rId10" Type="http://schemas.openxmlformats.org/officeDocument/2006/relationships/footer" Target="footer3.xml"/><Relationship Id="rId13" Type="http://schemas.openxmlformats.org/officeDocument/2006/relationships/header" Target="header1.xml"/><Relationship Id="rId12" Type="http://schemas.openxmlformats.org/officeDocument/2006/relationships/hyperlink" Target="https://vulnapi.cerberauth.com/docs/vulnerabilities/broken-authentication/jwt-null-signa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6.png"/><Relationship Id="rId3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