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9zz7v63vxz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Versão Descontinuada de Tecnologia com Vulnerabilidades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9.8</w:t>
            </w:r>
          </w:p>
        </w:tc>
        <w:tc>
          <w:tcPr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CRÍTICA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tecnologia é rápida, está sempre em constante evolução e é alimentada pela inovação. Como resultado, novas atualizações são continuamente desenvolvidas, caracterizando um curto ciclo de vida para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Todo componente que estiver desatualizado, idealmente, não deverá ser usado, pois sua presença no ambiente representa três problemas: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versão atual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recebe mais qualquer atualização de segurança de seu fabricante, aumentando a probabilidade de atacantes conhecerem melhor as vulnerabilidades e desenvolverem técnicas de exploração para cada uma delas;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antigos, comumente, têm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publicados que podem possuir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exploits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públicos para exploração. A simples existência destes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scripts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 o impacto da vulnerabilidade, sua probabilidade de exploração e faz da organização um provável alvo para atacantes externos.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detectados em versões antigas não são corrigidos, tornando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cada vez menos provável de funcionar corretamente com um novo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hardware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permanecer compatível com os sistemas mais recentes. Isto pode resultar em interrupções do negócio, caso o dispositivo pare de funcionar temporariamente ou, até mesmo, uma paralisação total do sistema, caso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desatualizado seja essencial para o funcionamento dos demais componentes do negócio.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Esses pontos significam que há uma maior probabilidade de ocorrerem incidentes de segurança no ambiente, podendo impactar desde um serviço em execução, até a organização por completo, dependendo da vulnerabilidade identificada.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versão desatualizada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do PHP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identificada em, ao menos, uma aplicação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versão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7.4.33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possui vulnerabilidades conhecidas e contém correções pendentes disponibilizadas pelo fabricante. Só o simples fato de estar presente no ambiente o torna potencialmente vulnerável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ataques de negação de serviço (DoS), execução de código remota (RCE),  ataques em criptografia e escalação de privilégios local.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Explicar se as CVEs foram exploradas ou não, em caso de não terem sido exploradas, o porquê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CWE-1104: Use of Unmaintained Third Party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CWE-937: Using Components with Known Vulnerabilities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60" w:line="259.2000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yellow"/>
            <w:u w:val="single"/>
            <w:rtl w:val="0"/>
          </w:rPr>
          <w:t xml:space="preserve">CVE-2021-21708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60" w:line="259.2000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yellow"/>
            <w:u w:val="single"/>
            <w:rtl w:val="0"/>
          </w:rPr>
          <w:t xml:space="preserve">CVE-2022-37454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60" w:line="259.2000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yellow"/>
            <w:u w:val="single"/>
            <w:rtl w:val="0"/>
          </w:rPr>
          <w:t xml:space="preserve">CVE-2022-31625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60" w:line="259.2000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yellow"/>
            <w:u w:val="single"/>
            <w:rtl w:val="0"/>
          </w:rPr>
          <w:t xml:space="preserve">CVE-2021-21703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60" w:line="259.20000000000005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  <w:sectPr>
          <w:type w:val="continuous"/>
          <w:pgSz w:h="16834" w:w="11909" w:orient="portrait"/>
          <w:pgMar w:bottom="1700.7874015748032" w:top="2267.716535433071" w:left="1700.7874015748032" w:right="1133.8582677165355" w:header="141.73228346456693" w:footer="1700.7874015748032"/>
          <w:cols w:equalWidth="0" w:num="2">
            <w:col w:space="720" w:w="4175.42"/>
            <w:col w:space="0" w:w="4175.42"/>
          </w:cols>
        </w:sect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yellow"/>
            <w:u w:val="single"/>
            <w:rtl w:val="0"/>
          </w:rPr>
          <w:t xml:space="preserve">CVE-2022-31630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mencionado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seja atualizado para sua versão mais recente. Caso isto não seja possível, é recomendado que sejam identificados cada um dos possíveis vetores de ataque que explorem todas as vulnerabilidades listadas e que sejam incluídas 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IDS/IPS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assinaturas que bloqueiem tentativas de exploração de cada uma destas vulnerabilidades.</w:t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yellow"/>
            <w:u w:val="single"/>
            <w:rtl w:val="0"/>
          </w:rPr>
          <w:t xml:space="preserve">Migrating from PHP 7.3.x to PHP 7.4.x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yellow"/>
            <w:u w:val="single"/>
            <w:rtl w:val="0"/>
          </w:rPr>
          <w:t xml:space="preserve">Upgrading or Downgrading PHP Versions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700.7874015748032" w:top="2267.716535433071" w:left="1700.7874015748032" w:right="1133.8582677165355" w:header="141.73228346456693" w:footer="1700.78740157480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vd.nist.gov/vuln/detail/CVE-2021-21703" TargetMode="External"/><Relationship Id="rId10" Type="http://schemas.openxmlformats.org/officeDocument/2006/relationships/hyperlink" Target="https://nvd.nist.gov/vuln/detail/CVE-2022-31625" TargetMode="External"/><Relationship Id="rId13" Type="http://schemas.openxmlformats.org/officeDocument/2006/relationships/hyperlink" Target="https://www.php.net/manual/en/migration74.php" TargetMode="External"/><Relationship Id="rId12" Type="http://schemas.openxmlformats.org/officeDocument/2006/relationships/hyperlink" Target="https://nvd.nist.gov/vuln/detail/CVE-2022-3163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vd.nist.gov/vuln/detail/CVE-2022-37454" TargetMode="External"/><Relationship Id="rId14" Type="http://schemas.openxmlformats.org/officeDocument/2006/relationships/hyperlink" Target="https://webdock.io/en/docs/perfect-server-stacks/upgrade-or-downgrade-php/upgrading-or-downgrading-php-vers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1104.html" TargetMode="External"/><Relationship Id="rId7" Type="http://schemas.openxmlformats.org/officeDocument/2006/relationships/hyperlink" Target="https://cwe.mitre.org/data/definitions/937.html" TargetMode="External"/><Relationship Id="rId8" Type="http://schemas.openxmlformats.org/officeDocument/2006/relationships/hyperlink" Target="https://nvd.nist.gov/vuln/detail/CVE-2021-217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