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5"/>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kwh94enqwhq3" w:id="0"/>
      <w:bookmarkEnd w:id="0"/>
      <w:r w:rsidDel="00000000" w:rsidR="00000000" w:rsidRPr="00000000">
        <w:rPr>
          <w:rFonts w:ascii="Times New Roman" w:cs="Times New Roman" w:eastAsia="Times New Roman" w:hAnsi="Times New Roman"/>
          <w:b w:val="1"/>
          <w:bCs w:val="1"/>
          <w:sz w:val="26"/>
          <w:szCs w:val="26"/>
          <w:rtl w:val="0"/>
        </w:rPr>
        <w:t xml:space="preserve">Aplicação Faz Uso de Tecnologias Obsoletas e Vulneráveis</w:t>
      </w:r>
      <w:r w:rsidDel="00000000" w:rsidR="00000000" w:rsidRPr="00000000">
        <w:rPr>
          <w:rtl w:val="0"/>
        </w:rPr>
      </w:r>
    </w:p>
    <w:p w:rsidR="00000000" w:rsidDel="00000000" w:rsidP="00000000" w:rsidRDefault="00000000" w:rsidRPr="00000000" w14:paraId="0000000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tecnologias obsoletas e com versões vulneráveis é uma má prática de segurança por várias razões. </w:t>
      </w:r>
      <w:r w:rsidDel="00000000" w:rsidR="00000000" w:rsidRPr="00000000">
        <w:rPr>
          <w:rFonts w:ascii="Times New Roman" w:cs="Times New Roman" w:eastAsia="Times New Roman" w:hAnsi="Times New Roman"/>
          <w:i w:val="1"/>
          <w:iCs w:val="1"/>
          <w:sz w:val="24"/>
          <w:szCs w:val="24"/>
          <w:rtl w:val="0"/>
        </w:rPr>
        <w:t xml:space="preserve">Softwares</w:t>
      </w:r>
      <w:r w:rsidDel="00000000" w:rsidR="00000000" w:rsidRPr="00000000">
        <w:rPr>
          <w:rFonts w:ascii="Times New Roman" w:cs="Times New Roman" w:eastAsia="Times New Roman" w:hAnsi="Times New Roman"/>
          <w:sz w:val="24"/>
          <w:szCs w:val="24"/>
          <w:rtl w:val="0"/>
        </w:rPr>
        <w:t xml:space="preserve"> obsoletos não recebem mais atualizações ou suporte dos desenvolvedores, o que significa que quaisquer novas vulnerabilidades descobertas não serão corrigidas. Isso deixa o sistema exposto a ataques que poderiam ser evitados. Além disso, versões desatualizadas podem não estar em conformidade com os padrões de segurança atuais, tornando-as alvos mais fáceis para cibercriminosos. A falta de suporte e atualizações contínuas também pode levar a incompatibilidades com outras tecnologias modernas, resultando em falhas operacionais. Portanto, manter o software atualizado é essencial para proteger dados sensíveis e garantir a integridade e a disponibilidade dos sistemas.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6">
      <w:pPr>
        <w:numPr>
          <w:ilvl w:val="0"/>
          <w:numId w:val="4"/>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7">
      <w:pPr>
        <w:numPr>
          <w:ilvl w:val="1"/>
          <w:numId w:val="4"/>
        </w:numPr>
        <w:spacing w:after="160" w:line="259" w:lineRule="auto"/>
        <w:ind w:left="1440" w:hanging="36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CWE-1104: Use of Unmaintained Third Party Components</w:t>
        </w:r>
      </w:hyperlink>
      <w:r w:rsidDel="00000000" w:rsidR="00000000" w:rsidRPr="00000000">
        <w:rPr>
          <w:rtl w:val="0"/>
        </w:rPr>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avaliar a possibilidade de atualizar os </w:t>
      </w:r>
      <w:r w:rsidDel="00000000" w:rsidR="00000000" w:rsidRPr="00000000">
        <w:rPr>
          <w:rFonts w:ascii="Times New Roman" w:cs="Times New Roman" w:eastAsia="Times New Roman" w:hAnsi="Times New Roman"/>
          <w:i w:val="1"/>
          <w:iCs w:val="1"/>
          <w:sz w:val="24"/>
          <w:szCs w:val="24"/>
          <w:rtl w:val="0"/>
        </w:rPr>
        <w:t xml:space="preserve">softwares</w:t>
      </w:r>
      <w:r w:rsidDel="00000000" w:rsidR="00000000" w:rsidRPr="00000000">
        <w:rPr>
          <w:rFonts w:ascii="Times New Roman" w:cs="Times New Roman" w:eastAsia="Times New Roman" w:hAnsi="Times New Roman"/>
          <w:sz w:val="24"/>
          <w:szCs w:val="24"/>
          <w:rtl w:val="0"/>
        </w:rPr>
        <w:t xml:space="preserve"> vulneráveis para a versão mais recente suportada pelo fabricante. </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numPr>
          <w:ilvl w:val="2"/>
          <w:numId w:val="5"/>
        </w:numPr>
        <w:spacing w:after="240" w:before="240" w:line="276" w:lineRule="auto"/>
        <w:ind w:left="708.6614173228347" w:hanging="360"/>
        <w:jc w:val="both"/>
        <w:rPr>
          <w:rFonts w:ascii="Times New Roman" w:cs="Times New Roman" w:eastAsia="Times New Roman" w:hAnsi="Times New Roman"/>
          <w:b w:val="1"/>
          <w:bCs w:val="1"/>
          <w:highlight w:val="yellow"/>
        </w:rPr>
      </w:pPr>
      <w:bookmarkStart w:colFirst="0" w:colLast="0" w:name="_kumer1ojm08k" w:id="1"/>
      <w:bookmarkEnd w:id="1"/>
      <w:r w:rsidDel="00000000" w:rsidR="00000000" w:rsidRPr="00000000">
        <w:rPr>
          <w:rFonts w:ascii="Times New Roman" w:cs="Times New Roman" w:eastAsia="Times New Roman" w:hAnsi="Times New Roman"/>
          <w:b w:val="1"/>
          <w:bCs w:val="1"/>
          <w:color w:val="000000"/>
          <w:sz w:val="26"/>
          <w:szCs w:val="26"/>
          <w:highlight w:val="yellow"/>
          <w:rtl w:val="0"/>
        </w:rPr>
        <w:t xml:space="preserve">Aplicação Faz Uso de Versão Vulnerável do Apache Tomcat</w:t>
      </w:r>
      <w:r w:rsidDel="00000000" w:rsidR="00000000" w:rsidRPr="00000000">
        <w:rPr>
          <w:rtl w:val="0"/>
        </w:rPr>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9.3</w:t>
              </w:r>
            </w:hyperlink>
            <w:r w:rsidDel="00000000" w:rsidR="00000000" w:rsidRPr="00000000">
              <w:rPr>
                <w:rtl w:val="0"/>
              </w:rPr>
            </w:r>
          </w:p>
        </w:tc>
        <w:tc>
          <w:tcPr>
            <w:shd w:fill="980000" w:val="cle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CRÍTICA</w:t>
            </w:r>
          </w:p>
        </w:tc>
      </w:tr>
    </w:tbl>
    <w:p w:rsidR="00000000" w:rsidDel="00000000" w:rsidP="00000000" w:rsidRDefault="00000000" w:rsidRPr="00000000" w14:paraId="00000011">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13">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Ao enviar um verbo HTTP não autorizado para a aplicação, foi possível validar na página de erro o uso da versão vulnerável </w:t>
      </w:r>
      <w:r w:rsidDel="00000000" w:rsidR="00000000" w:rsidRPr="00000000">
        <w:rPr>
          <w:rFonts w:ascii="Times New Roman" w:cs="Times New Roman" w:eastAsia="Times New Roman" w:hAnsi="Times New Roman"/>
          <w:sz w:val="24"/>
          <w:szCs w:val="24"/>
          <w:highlight w:val="yellow"/>
          <w:u w:val="single"/>
          <w:rtl w:val="0"/>
        </w:rPr>
        <w:t xml:space="preserve">8.5.20</w:t>
      </w:r>
      <w:r w:rsidDel="00000000" w:rsidR="00000000" w:rsidRPr="00000000">
        <w:rPr>
          <w:rFonts w:ascii="Times New Roman" w:cs="Times New Roman" w:eastAsia="Times New Roman" w:hAnsi="Times New Roman"/>
          <w:sz w:val="24"/>
          <w:szCs w:val="24"/>
          <w:highlight w:val="yellow"/>
          <w:rtl w:val="0"/>
        </w:rPr>
        <w:t xml:space="preserve"> do </w:t>
      </w:r>
      <w:r w:rsidDel="00000000" w:rsidR="00000000" w:rsidRPr="00000000">
        <w:rPr>
          <w:rFonts w:ascii="Times New Roman" w:cs="Times New Roman" w:eastAsia="Times New Roman" w:hAnsi="Times New Roman"/>
          <w:sz w:val="24"/>
          <w:szCs w:val="24"/>
          <w:highlight w:val="yellow"/>
          <w:u w:val="single"/>
          <w:rtl w:val="0"/>
        </w:rPr>
        <w:t xml:space="preserve">Apache Tomcat</w:t>
      </w:r>
      <w:r w:rsidDel="00000000" w:rsidR="00000000" w:rsidRPr="00000000">
        <w:rPr>
          <w:rFonts w:ascii="Times New Roman" w:cs="Times New Roman" w:eastAsia="Times New Roman" w:hAnsi="Times New Roman"/>
          <w:sz w:val="24"/>
          <w:szCs w:val="24"/>
          <w:highlight w:val="yellow"/>
          <w:rtl w:val="0"/>
        </w:rPr>
        <w:t xml:space="preserve">. Em condições específicas de </w:t>
      </w:r>
      <w:r w:rsidDel="00000000" w:rsidR="00000000" w:rsidRPr="00000000">
        <w:rPr>
          <w:rFonts w:ascii="Times New Roman" w:cs="Times New Roman" w:eastAsia="Times New Roman" w:hAnsi="Times New Roman"/>
          <w:i w:val="1"/>
          <w:iCs w:val="1"/>
          <w:sz w:val="24"/>
          <w:szCs w:val="24"/>
          <w:highlight w:val="yellow"/>
          <w:rtl w:val="0"/>
        </w:rPr>
        <w:t xml:space="preserve">deploy</w:t>
      </w:r>
      <w:r w:rsidDel="00000000" w:rsidR="00000000" w:rsidRPr="00000000">
        <w:rPr>
          <w:rFonts w:ascii="Times New Roman" w:cs="Times New Roman" w:eastAsia="Times New Roman" w:hAnsi="Times New Roman"/>
          <w:sz w:val="24"/>
          <w:szCs w:val="24"/>
          <w:highlight w:val="yellow"/>
          <w:rtl w:val="0"/>
        </w:rPr>
        <w:t xml:space="preserve"> da aplicação, um atacante pode obter informações sensíveis do servidor ou execução de código remota (RCE) através das vulnerabilidades existentes, as quais existem provas de conceito amplamente documentadas publicamente. </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Não foi possível realizar a exploração das mesmas no período de testes acordado, porém, em condições específicas e com maior disponibilidade de tempo um atacante poderia obter sucesso em explorar a versão vulnerável. </w:t>
      </w:r>
    </w:p>
    <w:p w:rsidR="00000000" w:rsidDel="00000000" w:rsidP="00000000" w:rsidRDefault="00000000" w:rsidRPr="00000000" w14:paraId="0000001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17">
      <w:pPr>
        <w:numPr>
          <w:ilvl w:val="0"/>
          <w:numId w:val="2"/>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w:t>
      </w:r>
      <w:r w:rsidDel="00000000" w:rsidR="00000000" w:rsidRPr="00000000">
        <w:rPr>
          <w:rtl w:val="0"/>
        </w:rPr>
      </w:r>
    </w:p>
    <w:p w:rsidR="00000000" w:rsidDel="00000000" w:rsidP="00000000" w:rsidRDefault="00000000" w:rsidRPr="00000000" w14:paraId="00000018">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8">
        <w:r w:rsidDel="00000000" w:rsidR="00000000" w:rsidRPr="00000000">
          <w:rPr>
            <w:rFonts w:ascii="Times New Roman" w:cs="Times New Roman" w:eastAsia="Times New Roman" w:hAnsi="Times New Roman"/>
            <w:color w:val="1155cc"/>
            <w:sz w:val="24"/>
            <w:szCs w:val="24"/>
            <w:highlight w:val="yellow"/>
            <w:u w:val="single"/>
            <w:rtl w:val="0"/>
          </w:rPr>
          <w:t xml:space="preserve">CVE-2020-1938</w:t>
        </w:r>
      </w:hyperlink>
      <w:r w:rsidDel="00000000" w:rsidR="00000000" w:rsidRPr="00000000">
        <w:rPr>
          <w:rtl w:val="0"/>
        </w:rPr>
      </w:r>
    </w:p>
    <w:p w:rsidR="00000000" w:rsidDel="00000000" w:rsidP="00000000" w:rsidRDefault="00000000" w:rsidRPr="00000000" w14:paraId="00000019">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9">
        <w:r w:rsidDel="00000000" w:rsidR="00000000" w:rsidRPr="00000000">
          <w:rPr>
            <w:rFonts w:ascii="Times New Roman" w:cs="Times New Roman" w:eastAsia="Times New Roman" w:hAnsi="Times New Roman"/>
            <w:color w:val="1155cc"/>
            <w:sz w:val="24"/>
            <w:szCs w:val="24"/>
            <w:highlight w:val="yellow"/>
            <w:u w:val="single"/>
            <w:rtl w:val="0"/>
          </w:rPr>
          <w:t xml:space="preserve">CVE-2019-0232</w:t>
        </w:r>
      </w:hyperlink>
      <w:r w:rsidDel="00000000" w:rsidR="00000000" w:rsidRPr="00000000">
        <w:rPr>
          <w:rtl w:val="0"/>
        </w:rPr>
      </w:r>
    </w:p>
    <w:p w:rsidR="00000000" w:rsidDel="00000000" w:rsidP="00000000" w:rsidRDefault="00000000" w:rsidRPr="00000000" w14:paraId="0000001A">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0">
        <w:r w:rsidDel="00000000" w:rsidR="00000000" w:rsidRPr="00000000">
          <w:rPr>
            <w:rFonts w:ascii="Times New Roman" w:cs="Times New Roman" w:eastAsia="Times New Roman" w:hAnsi="Times New Roman"/>
            <w:color w:val="1155cc"/>
            <w:sz w:val="24"/>
            <w:szCs w:val="24"/>
            <w:highlight w:val="yellow"/>
            <w:u w:val="single"/>
            <w:rtl w:val="0"/>
          </w:rPr>
          <w:t xml:space="preserve">CVE-2017-12617</w:t>
        </w:r>
      </w:hyperlink>
      <w:r w:rsidDel="00000000" w:rsidR="00000000" w:rsidRPr="00000000">
        <w:rPr>
          <w:rtl w:val="0"/>
        </w:rPr>
      </w:r>
    </w:p>
    <w:p w:rsidR="00000000" w:rsidDel="00000000" w:rsidP="00000000" w:rsidRDefault="00000000" w:rsidRPr="00000000" w14:paraId="0000001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D">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w:t>
      </w:r>
      <w:r w:rsidDel="00000000" w:rsidR="00000000" w:rsidRPr="00000000">
        <w:rPr>
          <w:rtl w:val="0"/>
        </w:rPr>
      </w:r>
    </w:p>
    <w:p w:rsidR="00000000" w:rsidDel="00000000" w:rsidP="00000000" w:rsidRDefault="00000000" w:rsidRPr="00000000" w14:paraId="0000001E">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widowControl w:val="0"/>
        <w:spacing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2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numPr>
          <w:ilvl w:val="2"/>
          <w:numId w:val="5"/>
        </w:numPr>
        <w:spacing w:after="240" w:before="240" w:line="276" w:lineRule="auto"/>
        <w:ind w:left="708.6614173228347" w:hanging="360"/>
        <w:jc w:val="both"/>
        <w:rPr>
          <w:rFonts w:ascii="Times New Roman" w:cs="Times New Roman" w:eastAsia="Times New Roman" w:hAnsi="Times New Roman"/>
          <w:b w:val="1"/>
          <w:bCs w:val="1"/>
          <w:highlight w:val="yellow"/>
        </w:rPr>
      </w:pPr>
      <w:bookmarkStart w:colFirst="0" w:colLast="0" w:name="_ttnkwzk9x2uk" w:id="2"/>
      <w:bookmarkEnd w:id="2"/>
      <w:r w:rsidDel="00000000" w:rsidR="00000000" w:rsidRPr="00000000">
        <w:rPr>
          <w:rFonts w:ascii="Times New Roman" w:cs="Times New Roman" w:eastAsia="Times New Roman" w:hAnsi="Times New Roman"/>
          <w:b w:val="1"/>
          <w:bCs w:val="1"/>
          <w:color w:val="000000"/>
          <w:sz w:val="26"/>
          <w:szCs w:val="26"/>
          <w:highlight w:val="yellow"/>
          <w:rtl w:val="0"/>
        </w:rPr>
        <w:t xml:space="preserve">Aplicação Faz Uso de AngularJS Descontinuado</w:t>
      </w:r>
      <w:r w:rsidDel="00000000" w:rsidR="00000000" w:rsidRPr="00000000">
        <w:rPr>
          <w:rtl w:val="0"/>
        </w:rPr>
      </w:r>
    </w:p>
    <w:tbl>
      <w:tblPr>
        <w:tblStyle w:val="Table2"/>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vAlign w:val="cente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8.7</w:t>
              </w:r>
            </w:hyperlink>
            <w:r w:rsidDel="00000000" w:rsidR="00000000" w:rsidRPr="00000000">
              <w:rPr>
                <w:rtl w:val="0"/>
              </w:rPr>
            </w:r>
          </w:p>
        </w:tc>
        <w:tc>
          <w:tcPr>
            <w:shd w:fill="ff0000" w:val="clear"/>
            <w:vAlign w:val="center"/>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ALTA</w:t>
            </w:r>
          </w:p>
        </w:tc>
      </w:tr>
    </w:tbl>
    <w:p w:rsidR="00000000" w:rsidDel="00000000" w:rsidP="00000000" w:rsidRDefault="00000000" w:rsidRPr="00000000" w14:paraId="00000026">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2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bibliotecas JavaScript são utilizadas nas aplicações para agregar funcionalidades ao código, adicionando maior controle aos desenvolvedores e melhorando a experiência dos usuários. A lógica não é diferente quando se trata do AngularJS, um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de desenvolvimento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que facilita o desenvolvimento de aplicações </w:t>
      </w:r>
      <w:r w:rsidDel="00000000" w:rsidR="00000000" w:rsidRPr="00000000">
        <w:rPr>
          <w:rFonts w:ascii="Times New Roman" w:cs="Times New Roman" w:eastAsia="Times New Roman" w:hAnsi="Times New Roman"/>
          <w:i w:val="1"/>
          <w:iCs w:val="1"/>
          <w:sz w:val="24"/>
          <w:szCs w:val="24"/>
          <w:rtl w:val="0"/>
        </w:rPr>
        <w:t xml:space="preserve">web</w:t>
      </w:r>
      <w:r w:rsidDel="00000000" w:rsidR="00000000" w:rsidRPr="00000000">
        <w:rPr>
          <w:rFonts w:ascii="Times New Roman" w:cs="Times New Roman" w:eastAsia="Times New Roman" w:hAnsi="Times New Roman"/>
          <w:sz w:val="24"/>
          <w:szCs w:val="24"/>
          <w:rtl w:val="0"/>
        </w:rPr>
        <w:t xml:space="preserve"> de forma que possa facilitar integração com bibliotecas e facilitar o uso de HTML, por exemplo. </w:t>
      </w:r>
    </w:p>
    <w:p w:rsidR="00000000" w:rsidDel="00000000" w:rsidP="00000000" w:rsidRDefault="00000000" w:rsidRPr="00000000" w14:paraId="0000002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AngularJS, como o próprio nome sugere, tem como linguagem padrão o JavaScript, porém as versões 1.x foram descontinuadas e não possuem suporte desde janeiro de 2022. Isso quer dizer que, mesmo que o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continue disponível para uso, não há atualização de versões e consequentemente não haverá </w:t>
      </w:r>
      <w:r w:rsidDel="00000000" w:rsidR="00000000" w:rsidRPr="00000000">
        <w:rPr>
          <w:rFonts w:ascii="Times New Roman" w:cs="Times New Roman" w:eastAsia="Times New Roman" w:hAnsi="Times New Roman"/>
          <w:i w:val="1"/>
          <w:iCs w:val="1"/>
          <w:sz w:val="24"/>
          <w:szCs w:val="24"/>
          <w:rtl w:val="0"/>
        </w:rPr>
        <w:t xml:space="preserve">patches</w:t>
      </w:r>
      <w:r w:rsidDel="00000000" w:rsidR="00000000" w:rsidRPr="00000000">
        <w:rPr>
          <w:rFonts w:ascii="Times New Roman" w:cs="Times New Roman" w:eastAsia="Times New Roman" w:hAnsi="Times New Roman"/>
          <w:sz w:val="24"/>
          <w:szCs w:val="24"/>
          <w:rtl w:val="0"/>
        </w:rPr>
        <w:t xml:space="preserve"> de correções para possíveis vulnerabilidades que possam ser encontradas. </w:t>
      </w:r>
    </w:p>
    <w:p w:rsidR="00000000" w:rsidDel="00000000" w:rsidP="00000000" w:rsidRDefault="00000000" w:rsidRPr="00000000" w14:paraId="0000002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aplicação utiliza a versão 1.3.0, que possui CVEs publicadas que permitem a exploração de Cross Site Scripting (XSS) e </w:t>
      </w:r>
      <w:r w:rsidDel="00000000" w:rsidR="00000000" w:rsidRPr="00000000">
        <w:rPr>
          <w:rFonts w:ascii="Times New Roman" w:cs="Times New Roman" w:eastAsia="Times New Roman" w:hAnsi="Times New Roman"/>
          <w:i w:val="1"/>
          <w:iCs w:val="1"/>
          <w:sz w:val="24"/>
          <w:szCs w:val="24"/>
          <w:highlight w:val="yellow"/>
          <w:rtl w:val="0"/>
        </w:rPr>
        <w:t xml:space="preserve">ReDoS</w:t>
      </w:r>
      <w:r w:rsidDel="00000000" w:rsidR="00000000" w:rsidRPr="00000000">
        <w:rPr>
          <w:rFonts w:ascii="Times New Roman" w:cs="Times New Roman" w:eastAsia="Times New Roman" w:hAnsi="Times New Roman"/>
          <w:sz w:val="24"/>
          <w:szCs w:val="24"/>
          <w:highlight w:val="yellow"/>
          <w:rtl w:val="0"/>
        </w:rPr>
        <w:t xml:space="preserve">, uma vulnerabilidade do JavaScript que permite que um invasor cause negação de serviço (DoS) através de uma expressão regular excessivamente complexa. As vulnerabilidades em questão não foram validadas, visto que poderiam causar negação de serviço ao ativo em produção.</w:t>
      </w:r>
    </w:p>
    <w:p w:rsidR="00000000" w:rsidDel="00000000" w:rsidP="00000000" w:rsidRDefault="00000000" w:rsidRPr="00000000" w14:paraId="0000002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2D">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w:t>
      </w:r>
      <w:r w:rsidDel="00000000" w:rsidR="00000000" w:rsidRPr="00000000">
        <w:rPr>
          <w:rtl w:val="0"/>
        </w:rPr>
      </w:r>
    </w:p>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30">
      <w:pPr>
        <w:numPr>
          <w:ilvl w:val="0"/>
          <w:numId w:val="2"/>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w:t>
      </w:r>
      <w:r w:rsidDel="00000000" w:rsidR="00000000" w:rsidRPr="00000000">
        <w:rPr>
          <w:rtl w:val="0"/>
        </w:rPr>
      </w:r>
    </w:p>
    <w:p w:rsidR="00000000" w:rsidDel="00000000" w:rsidP="00000000" w:rsidRDefault="00000000" w:rsidRPr="00000000" w14:paraId="00000031">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2">
        <w:r w:rsidDel="00000000" w:rsidR="00000000" w:rsidRPr="00000000">
          <w:rPr>
            <w:rFonts w:ascii="Times New Roman" w:cs="Times New Roman" w:eastAsia="Times New Roman" w:hAnsi="Times New Roman"/>
            <w:color w:val="1155cc"/>
            <w:sz w:val="24"/>
            <w:szCs w:val="24"/>
            <w:highlight w:val="yellow"/>
            <w:u w:val="single"/>
            <w:rtl w:val="0"/>
          </w:rPr>
          <w:t xml:space="preserve">CVE-2024-21490</w:t>
        </w:r>
      </w:hyperlink>
      <w:r w:rsidDel="00000000" w:rsidR="00000000" w:rsidRPr="00000000">
        <w:rPr>
          <w:rtl w:val="0"/>
        </w:rPr>
      </w:r>
    </w:p>
    <w:p w:rsidR="00000000" w:rsidDel="00000000" w:rsidP="00000000" w:rsidRDefault="00000000" w:rsidRPr="00000000" w14:paraId="00000032">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3">
        <w:r w:rsidDel="00000000" w:rsidR="00000000" w:rsidRPr="00000000">
          <w:rPr>
            <w:rFonts w:ascii="Times New Roman" w:cs="Times New Roman" w:eastAsia="Times New Roman" w:hAnsi="Times New Roman"/>
            <w:color w:val="1155cc"/>
            <w:sz w:val="24"/>
            <w:szCs w:val="24"/>
            <w:highlight w:val="yellow"/>
            <w:u w:val="single"/>
            <w:rtl w:val="0"/>
          </w:rPr>
          <w:t xml:space="preserve">CVE-2020-7676</w:t>
        </w:r>
      </w:hyperlink>
      <w:r w:rsidDel="00000000" w:rsidR="00000000" w:rsidRPr="00000000">
        <w:rPr>
          <w:rtl w:val="0"/>
        </w:rPr>
      </w:r>
    </w:p>
    <w:p w:rsidR="00000000" w:rsidDel="00000000" w:rsidP="00000000" w:rsidRDefault="00000000" w:rsidRPr="00000000" w14:paraId="00000033">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4">
        <w:r w:rsidDel="00000000" w:rsidR="00000000" w:rsidRPr="00000000">
          <w:rPr>
            <w:rFonts w:ascii="Times New Roman" w:cs="Times New Roman" w:eastAsia="Times New Roman" w:hAnsi="Times New Roman"/>
            <w:color w:val="1155cc"/>
            <w:sz w:val="24"/>
            <w:szCs w:val="24"/>
            <w:highlight w:val="yellow"/>
            <w:u w:val="single"/>
            <w:rtl w:val="0"/>
          </w:rPr>
          <w:t xml:space="preserve">CVE-2022-25869</w:t>
        </w:r>
      </w:hyperlink>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3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se utilize a versão mais atualizada do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para mitigar vulnerabilidades já conhecidas e publicadas. Se possível, faça a migração de tecnologia do AngularJS para o </w:t>
      </w:r>
      <w:r w:rsidDel="00000000" w:rsidR="00000000" w:rsidRPr="00000000">
        <w:rPr>
          <w:rFonts w:ascii="Times New Roman" w:cs="Times New Roman" w:eastAsia="Times New Roman" w:hAnsi="Times New Roman"/>
          <w:sz w:val="24"/>
          <w:szCs w:val="24"/>
          <w:u w:val="single"/>
          <w:rtl w:val="0"/>
        </w:rPr>
        <w:t xml:space="preserve">Angular</w:t>
      </w:r>
      <w:r w:rsidDel="00000000" w:rsidR="00000000" w:rsidRPr="00000000">
        <w:rPr>
          <w:rFonts w:ascii="Times New Roman" w:cs="Times New Roman" w:eastAsia="Times New Roman" w:hAnsi="Times New Roman"/>
          <w:sz w:val="24"/>
          <w:szCs w:val="24"/>
          <w:rtl w:val="0"/>
        </w:rPr>
        <w:t xml:space="preserve">, que tem como linguagem padrão o TypeScript.</w:t>
      </w:r>
    </w:p>
    <w:p w:rsidR="00000000" w:rsidDel="00000000" w:rsidP="00000000" w:rsidRDefault="00000000" w:rsidRPr="00000000" w14:paraId="0000003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39">
      <w:pPr>
        <w:numPr>
          <w:ilvl w:val="0"/>
          <w:numId w:val="3"/>
        </w:numPr>
        <w:spacing w:after="0" w:afterAutospacing="0" w:line="259" w:lineRule="auto"/>
        <w:ind w:left="72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Upgrading from AngularJS to Angular</w:t>
        </w:r>
      </w:hyperlink>
      <w:r w:rsidDel="00000000" w:rsidR="00000000" w:rsidRPr="00000000">
        <w:rPr>
          <w:rtl w:val="0"/>
        </w:rPr>
      </w:r>
    </w:p>
    <w:p w:rsidR="00000000" w:rsidDel="00000000" w:rsidP="00000000" w:rsidRDefault="00000000" w:rsidRPr="00000000" w14:paraId="0000003A">
      <w:pPr>
        <w:numPr>
          <w:ilvl w:val="0"/>
          <w:numId w:val="3"/>
        </w:numPr>
        <w:spacing w:after="160" w:line="259"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Discontinued Long Term Support for AngularJS</w:t>
        </w:r>
      </w:hyperlink>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p w:rsidR="00000000" w:rsidDel="00000000" w:rsidP="00000000" w:rsidRDefault="00000000" w:rsidRPr="00000000" w14:paraId="0000003E">
      <w:pPr>
        <w:spacing w:after="160" w:line="259"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numPr>
          <w:ilvl w:val="2"/>
          <w:numId w:val="5"/>
        </w:numPr>
        <w:spacing w:after="240" w:before="240" w:line="276" w:lineRule="auto"/>
        <w:ind w:left="708.6614173228347" w:hanging="360"/>
        <w:jc w:val="both"/>
        <w:rPr>
          <w:rFonts w:ascii="Times New Roman" w:cs="Times New Roman" w:eastAsia="Times New Roman" w:hAnsi="Times New Roman"/>
          <w:b w:val="1"/>
          <w:bCs w:val="1"/>
          <w:highlight w:val="yellow"/>
        </w:rPr>
      </w:pPr>
      <w:bookmarkStart w:colFirst="0" w:colLast="0" w:name="_pl37zrnhaqbt" w:id="3"/>
      <w:bookmarkEnd w:id="3"/>
      <w:r w:rsidDel="00000000" w:rsidR="00000000" w:rsidRPr="00000000">
        <w:rPr>
          <w:rFonts w:ascii="Times New Roman" w:cs="Times New Roman" w:eastAsia="Times New Roman" w:hAnsi="Times New Roman"/>
          <w:b w:val="1"/>
          <w:bCs w:val="1"/>
          <w:color w:val="000000"/>
          <w:sz w:val="26"/>
          <w:szCs w:val="26"/>
          <w:highlight w:val="yellow"/>
          <w:rtl w:val="0"/>
        </w:rPr>
        <w:t xml:space="preserve">Versão do JQuery Possui Vulnerabilidades Conhecidas</w:t>
      </w:r>
      <w:r w:rsidDel="00000000" w:rsidR="00000000" w:rsidRPr="00000000">
        <w:rPr>
          <w:rtl w:val="0"/>
        </w:rPr>
      </w:r>
    </w:p>
    <w:tbl>
      <w:tblPr>
        <w:tblStyle w:val="Table3"/>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vAlign w:val="cente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2.1</w:t>
              </w:r>
            </w:hyperlink>
            <w:r w:rsidDel="00000000" w:rsidR="00000000" w:rsidRPr="00000000">
              <w:rPr>
                <w:rtl w:val="0"/>
              </w:rPr>
            </w:r>
          </w:p>
        </w:tc>
        <w:tc>
          <w:tcPr>
            <w:shd w:fill="ffff00" w:val="cle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BAIXA</w:t>
            </w:r>
          </w:p>
        </w:tc>
      </w:tr>
    </w:tbl>
    <w:p w:rsidR="00000000" w:rsidDel="00000000" w:rsidP="00000000" w:rsidRDefault="00000000" w:rsidRPr="00000000" w14:paraId="00000044">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46">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Durante o período de testes, foi possível validar o uso da biblioteca JavaScript </w:t>
      </w:r>
      <w:r w:rsidDel="00000000" w:rsidR="00000000" w:rsidRPr="00000000">
        <w:rPr>
          <w:rFonts w:ascii="Times New Roman" w:cs="Times New Roman" w:eastAsia="Times New Roman" w:hAnsi="Times New Roman"/>
          <w:sz w:val="24"/>
          <w:szCs w:val="24"/>
          <w:highlight w:val="yellow"/>
          <w:u w:val="single"/>
          <w:rtl w:val="0"/>
        </w:rPr>
        <w:t xml:space="preserve">JQuery</w:t>
      </w:r>
      <w:r w:rsidDel="00000000" w:rsidR="00000000" w:rsidRPr="00000000">
        <w:rPr>
          <w:rFonts w:ascii="Times New Roman" w:cs="Times New Roman" w:eastAsia="Times New Roman" w:hAnsi="Times New Roman"/>
          <w:sz w:val="24"/>
          <w:szCs w:val="24"/>
          <w:highlight w:val="yellow"/>
          <w:rtl w:val="0"/>
        </w:rPr>
        <w:t xml:space="preserve"> na versão </w:t>
      </w:r>
      <w:r w:rsidDel="00000000" w:rsidR="00000000" w:rsidRPr="00000000">
        <w:rPr>
          <w:rFonts w:ascii="Times New Roman" w:cs="Times New Roman" w:eastAsia="Times New Roman" w:hAnsi="Times New Roman"/>
          <w:highlight w:val="yellow"/>
          <w:u w:val="single"/>
          <w:rtl w:val="0"/>
        </w:rPr>
        <w:t xml:space="preserve">1.11.2</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sz w:val="24"/>
          <w:szCs w:val="24"/>
          <w:highlight w:val="yellow"/>
          <w:rtl w:val="0"/>
        </w:rPr>
        <w:t xml:space="preserve"> que possui vulnerabilidades conhecidas. Um atacante, ao explorar estas vulnerabilidades, poderia realizar ataques de </w:t>
      </w:r>
      <w:r w:rsidDel="00000000" w:rsidR="00000000" w:rsidRPr="00000000">
        <w:rPr>
          <w:rFonts w:ascii="Times New Roman" w:cs="Times New Roman" w:eastAsia="Times New Roman" w:hAnsi="Times New Roman"/>
          <w:i w:val="1"/>
          <w:iCs w:val="1"/>
          <w:sz w:val="24"/>
          <w:szCs w:val="24"/>
          <w:highlight w:val="yellow"/>
          <w:rtl w:val="0"/>
        </w:rPr>
        <w:t xml:space="preserve">Cross-Site Scripting</w:t>
      </w:r>
      <w:r w:rsidDel="00000000" w:rsidR="00000000" w:rsidRPr="00000000">
        <w:rPr>
          <w:rFonts w:ascii="Times New Roman" w:cs="Times New Roman" w:eastAsia="Times New Roman" w:hAnsi="Times New Roman"/>
          <w:sz w:val="24"/>
          <w:szCs w:val="24"/>
          <w:highlight w:val="yellow"/>
          <w:rtl w:val="0"/>
        </w:rPr>
        <w:t xml:space="preserve"> (XSS) na aplicação. Apesar de existir CVEs publicadas para as vulnerabilidades em questão, não existem provas de conceito públicas ou as condições necessárias no ambiente de testes para realizar a prova de conceito da vulnerabilidade. </w:t>
      </w:r>
    </w:p>
    <w:p w:rsidR="00000000" w:rsidDel="00000000" w:rsidP="00000000" w:rsidRDefault="00000000" w:rsidRPr="00000000" w14:paraId="0000004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49">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w:t>
      </w:r>
      <w:r w:rsidDel="00000000" w:rsidR="00000000" w:rsidRPr="00000000">
        <w:rPr>
          <w:rtl w:val="0"/>
        </w:rPr>
      </w:r>
    </w:p>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4C">
      <w:pPr>
        <w:numPr>
          <w:ilvl w:val="0"/>
          <w:numId w:val="2"/>
        </w:numPr>
        <w:spacing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w:t>
      </w:r>
      <w:r w:rsidDel="00000000" w:rsidR="00000000" w:rsidRPr="00000000">
        <w:rPr>
          <w:rtl w:val="0"/>
        </w:rPr>
      </w:r>
    </w:p>
    <w:p w:rsidR="00000000" w:rsidDel="00000000" w:rsidP="00000000" w:rsidRDefault="00000000" w:rsidRPr="00000000" w14:paraId="0000004D">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8">
        <w:r w:rsidDel="00000000" w:rsidR="00000000" w:rsidRPr="00000000">
          <w:rPr>
            <w:rFonts w:ascii="Times New Roman" w:cs="Times New Roman" w:eastAsia="Times New Roman" w:hAnsi="Times New Roman"/>
            <w:color w:val="1155cc"/>
            <w:sz w:val="24"/>
            <w:szCs w:val="24"/>
            <w:highlight w:val="yellow"/>
            <w:u w:val="single"/>
            <w:rtl w:val="0"/>
          </w:rPr>
          <w:t xml:space="preserve">CVE-2020-11022</w:t>
        </w:r>
      </w:hyperlink>
      <w:r w:rsidDel="00000000" w:rsidR="00000000" w:rsidRPr="00000000">
        <w:rPr>
          <w:rtl w:val="0"/>
        </w:rPr>
      </w:r>
    </w:p>
    <w:p w:rsidR="00000000" w:rsidDel="00000000" w:rsidP="00000000" w:rsidRDefault="00000000" w:rsidRPr="00000000" w14:paraId="0000004E">
      <w:pPr>
        <w:numPr>
          <w:ilvl w:val="1"/>
          <w:numId w:val="2"/>
        </w:numPr>
        <w:spacing w:line="259" w:lineRule="auto"/>
        <w:ind w:left="1440" w:hanging="360"/>
        <w:jc w:val="both"/>
        <w:rPr>
          <w:rFonts w:ascii="Times New Roman" w:cs="Times New Roman" w:eastAsia="Times New Roman" w:hAnsi="Times New Roman"/>
          <w:sz w:val="24"/>
          <w:szCs w:val="24"/>
          <w:highlight w:val="yellow"/>
        </w:rPr>
      </w:pPr>
      <w:hyperlink r:id="rId19">
        <w:r w:rsidDel="00000000" w:rsidR="00000000" w:rsidRPr="00000000">
          <w:rPr>
            <w:rFonts w:ascii="Times New Roman" w:cs="Times New Roman" w:eastAsia="Times New Roman" w:hAnsi="Times New Roman"/>
            <w:color w:val="1155cc"/>
            <w:sz w:val="24"/>
            <w:szCs w:val="24"/>
            <w:highlight w:val="yellow"/>
            <w:u w:val="single"/>
            <w:rtl w:val="0"/>
          </w:rPr>
          <w:t xml:space="preserve">CVE-2020-11023</w:t>
        </w:r>
      </w:hyperlink>
      <w:r w:rsidDel="00000000" w:rsidR="00000000" w:rsidRPr="00000000">
        <w:rPr>
          <w:rtl w:val="0"/>
        </w:rPr>
      </w:r>
    </w:p>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r w:rsidDel="00000000" w:rsidR="00000000" w:rsidRPr="00000000">
        <w:rPr>
          <w:rtl w:val="0"/>
        </w:rPr>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rst.org/cvss/calculator/4.0#CVSS:4.0/AV:N/AC:L/AT:N/PR:N/UI:N/VC:N/VI:H/VA:N/SC:N/SI:N/SA:N" TargetMode="External"/><Relationship Id="rId10" Type="http://schemas.openxmlformats.org/officeDocument/2006/relationships/hyperlink" Target="https://nvd.nist.gov/vuln/detail/CVE-2017-12617" TargetMode="External"/><Relationship Id="rId13" Type="http://schemas.openxmlformats.org/officeDocument/2006/relationships/hyperlink" Target="https://nvd.nist.gov/vuln/detail/cve-2020-7676" TargetMode="External"/><Relationship Id="rId12" Type="http://schemas.openxmlformats.org/officeDocument/2006/relationships/hyperlink" Target="https://nvd.nist.gov/vuln/detail/CVE-2024-2149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d.nist.gov/vuln/detail/CVE-2019-0232" TargetMode="External"/><Relationship Id="rId15" Type="http://schemas.openxmlformats.org/officeDocument/2006/relationships/hyperlink" Target="https://angular.io/guide/upgrade" TargetMode="External"/><Relationship Id="rId14" Type="http://schemas.openxmlformats.org/officeDocument/2006/relationships/hyperlink" Target="https://nvd.nist.gov/vuln/detail/CVE-2022-25869" TargetMode="External"/><Relationship Id="rId17" Type="http://schemas.openxmlformats.org/officeDocument/2006/relationships/hyperlink" Target="https://www.first.org/cvss/calculator/4.0#CVSS:4.0/AV:N/AC:L/AT:N/PR:N/UI:P/VC:L/VI:L/VA:N/SC:N/SI:N/SA:N/E:P" TargetMode="External"/><Relationship Id="rId16" Type="http://schemas.openxmlformats.org/officeDocument/2006/relationships/hyperlink" Target="https://blog.angular.io/discontinued-long-term-support-for-angularjs-cc066b82e65a" TargetMode="External"/><Relationship Id="rId5" Type="http://schemas.openxmlformats.org/officeDocument/2006/relationships/styles" Target="styles.xml"/><Relationship Id="rId19" Type="http://schemas.openxmlformats.org/officeDocument/2006/relationships/hyperlink" Target="https://cve.mitre.org/cgi-bin/cvename.cgi?name=CVE-2020-11023" TargetMode="External"/><Relationship Id="rId6" Type="http://schemas.openxmlformats.org/officeDocument/2006/relationships/hyperlink" Target="https://cwe.mitre.org/data/definitions/1104.html" TargetMode="External"/><Relationship Id="rId18" Type="http://schemas.openxmlformats.org/officeDocument/2006/relationships/hyperlink" Target="https://nvd.nist.gov/vuln/detail/cve-2020-11022" TargetMode="External"/><Relationship Id="rId7" Type="http://schemas.openxmlformats.org/officeDocument/2006/relationships/hyperlink" Target="https://www.first.org/cvss/calculator/4.0#CVSS:4.0/AV:N/AC:L/AT:N/PR:N/UI:N/VC:H/VI:H/VA:H/SC:N/SI:N/SA:N/E:A" TargetMode="External"/><Relationship Id="rId8" Type="http://schemas.openxmlformats.org/officeDocument/2006/relationships/hyperlink" Target="https://nvd.nist.gov/vuln/detail/CVE-2020-1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