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2134"/>
        <w:gridCol w:w="5306"/>
        <w:gridCol w:w="6508"/>
      </w:tblGrid>
      <w:tr w:rsidR="00982F06" w:rsidRPr="00161E1F" w14:paraId="3F97E620" w14:textId="77777777" w:rsidTr="00157C50">
        <w:tc>
          <w:tcPr>
            <w:tcW w:w="765" w:type="pct"/>
            <w:shd w:val="clear" w:color="auto" w:fill="A5C9EB" w:themeFill="text2" w:themeFillTint="40"/>
          </w:tcPr>
          <w:p w14:paraId="494A63E8" w14:textId="314D41B4" w:rsidR="00982F06" w:rsidRDefault="00656726" w:rsidP="00157C50">
            <w:pPr>
              <w:jc w:val="center"/>
              <w:rPr>
                <w:b/>
                <w:bCs/>
              </w:rPr>
            </w:pPr>
            <w:r w:rsidRPr="00656726">
              <w:rPr>
                <w:b/>
                <w:bCs/>
              </w:rPr>
              <w:t>New Website Section</w:t>
            </w:r>
          </w:p>
        </w:tc>
        <w:tc>
          <w:tcPr>
            <w:tcW w:w="1902" w:type="pct"/>
            <w:shd w:val="clear" w:color="auto" w:fill="A5C9EB" w:themeFill="text2" w:themeFillTint="40"/>
            <w:hideMark/>
          </w:tcPr>
          <w:p w14:paraId="408DA442" w14:textId="32ECC493" w:rsidR="00982F06" w:rsidRPr="00161E1F" w:rsidRDefault="00656726" w:rsidP="00157C50">
            <w:pPr>
              <w:spacing w:after="160" w:line="278" w:lineRule="auto"/>
              <w:jc w:val="center"/>
              <w:rPr>
                <w:b/>
                <w:bCs/>
              </w:rPr>
            </w:pPr>
            <w:r w:rsidRPr="00656726">
              <w:rPr>
                <w:b/>
                <w:bCs/>
              </w:rPr>
              <w:t>Current New Website Content</w:t>
            </w:r>
          </w:p>
        </w:tc>
        <w:tc>
          <w:tcPr>
            <w:tcW w:w="2333" w:type="pct"/>
            <w:shd w:val="clear" w:color="auto" w:fill="A5C9EB" w:themeFill="text2" w:themeFillTint="40"/>
            <w:hideMark/>
          </w:tcPr>
          <w:p w14:paraId="6EA15DC9" w14:textId="7BDE72D9" w:rsidR="00982F06" w:rsidRPr="00161E1F" w:rsidRDefault="00656726" w:rsidP="00656726">
            <w:pPr>
              <w:spacing w:after="160" w:line="278" w:lineRule="auto"/>
              <w:jc w:val="center"/>
              <w:rPr>
                <w:b/>
                <w:bCs/>
              </w:rPr>
            </w:pPr>
            <w:r w:rsidRPr="00656726">
              <w:rPr>
                <w:b/>
                <w:bCs/>
              </w:rPr>
              <w:t>Suggestive Content</w:t>
            </w:r>
          </w:p>
        </w:tc>
      </w:tr>
      <w:tr w:rsidR="00982F06" w:rsidRPr="00161E1F" w14:paraId="22024AFA" w14:textId="77777777" w:rsidTr="00290B92">
        <w:tc>
          <w:tcPr>
            <w:tcW w:w="765" w:type="pct"/>
          </w:tcPr>
          <w:p w14:paraId="6F8F1C64" w14:textId="178AFB6F" w:rsidR="00982F06" w:rsidRPr="00EF08A2" w:rsidRDefault="00EF08A2" w:rsidP="00161E1F">
            <w:pPr>
              <w:rPr>
                <w:b/>
                <w:bCs/>
              </w:rPr>
            </w:pPr>
            <w:r>
              <w:rPr>
                <w:b/>
                <w:bCs/>
              </w:rPr>
              <w:t>In Short</w:t>
            </w:r>
          </w:p>
        </w:tc>
        <w:tc>
          <w:tcPr>
            <w:tcW w:w="1902" w:type="pct"/>
          </w:tcPr>
          <w:p w14:paraId="7CADFB60" w14:textId="235ECB26" w:rsidR="00982F06" w:rsidRPr="00161E1F" w:rsidRDefault="003553AC" w:rsidP="00161E1F">
            <w:r w:rsidRPr="003553AC">
              <w:t xml:space="preserve">The HIU initiates a consent request using the patient's </w:t>
            </w:r>
            <w:hyperlink r:id="rId6" w:anchor="abha-address" w:history="1">
              <w:r w:rsidRPr="003553AC">
                <w:rPr>
                  <w:rStyle w:val="Hyperlink"/>
                  <w:b/>
                  <w:bCs/>
                </w:rPr>
                <w:t>ABHA Address</w:t>
              </w:r>
            </w:hyperlink>
            <w:r w:rsidRPr="003553AC">
              <w:t xml:space="preserve">. The HIE-CM notifies the patient and communicates the consent status through the ABDM Gateway. Upon approval, the HIU fetches the generated consent artefact(s) and requests the authorised health information. The concerned </w:t>
            </w:r>
            <w:hyperlink r:id="rId7" w:anchor="hip" w:history="1">
              <w:r w:rsidRPr="003553AC">
                <w:rPr>
                  <w:rStyle w:val="Hyperlink"/>
                  <w:b/>
                  <w:bCs/>
                </w:rPr>
                <w:t>HIP</w:t>
              </w:r>
            </w:hyperlink>
            <w:r w:rsidRPr="003553AC">
              <w:t xml:space="preserve"> encrypts and transfers the information to the HIU's specified data-push URL, following which the HIU submits the prescribed receipt-status notification.</w:t>
            </w:r>
          </w:p>
        </w:tc>
        <w:tc>
          <w:tcPr>
            <w:tcW w:w="2333" w:type="pct"/>
          </w:tcPr>
          <w:p w14:paraId="39919B5E" w14:textId="1CB62FFD" w:rsidR="00982F06" w:rsidRPr="00161E1F" w:rsidRDefault="004C2F8E" w:rsidP="000D150A">
            <w:r w:rsidRPr="00C402F2">
              <w:t xml:space="preserve">The HIU initiates a consent request using the patient’s ABHA Address. The HIE-CM notifies the patient and communicates the consent status through the ABDM Gateway. Upon approval, </w:t>
            </w:r>
            <w:r w:rsidR="000D150A" w:rsidRPr="000D150A">
              <w:t xml:space="preserve">the HIU </w:t>
            </w:r>
            <w:r w:rsidRPr="00C402F2">
              <w:t xml:space="preserve">fetches the </w:t>
            </w:r>
            <w:r w:rsidR="000D150A" w:rsidRPr="000D150A">
              <w:t>generated</w:t>
            </w:r>
            <w:r w:rsidRPr="00C402F2">
              <w:t xml:space="preserve"> consent artefact</w:t>
            </w:r>
            <w:r w:rsidR="000D150A" w:rsidRPr="000D150A">
              <w:t>(s) and requests the authorised health information.</w:t>
            </w:r>
            <w:r w:rsidRPr="00C402F2">
              <w:t xml:space="preserve"> The concerned HIP encrypts and transfers the information to the </w:t>
            </w:r>
            <w:r w:rsidR="000D150A" w:rsidRPr="000D150A">
              <w:t xml:space="preserve">HIU’s specified </w:t>
            </w:r>
            <w:r w:rsidRPr="00C402F2">
              <w:t>data-push URL</w:t>
            </w:r>
            <w:r w:rsidR="000F376C">
              <w:t>.</w:t>
            </w:r>
          </w:p>
        </w:tc>
      </w:tr>
      <w:tr w:rsidR="00982F06" w:rsidRPr="00161E1F" w14:paraId="70457C8A" w14:textId="77777777" w:rsidTr="00290B92">
        <w:tc>
          <w:tcPr>
            <w:tcW w:w="765" w:type="pct"/>
          </w:tcPr>
          <w:p w14:paraId="632B967D" w14:textId="5C5F899A" w:rsidR="005D0444" w:rsidRDefault="005D0444" w:rsidP="005D0444">
            <w:pPr>
              <w:rPr>
                <w:b/>
                <w:bCs/>
              </w:rPr>
            </w:pPr>
            <w:r w:rsidRPr="00DE7340">
              <w:rPr>
                <w:b/>
                <w:bCs/>
              </w:rPr>
              <w:t>M</w:t>
            </w:r>
            <w:r w:rsidR="0046541C">
              <w:rPr>
                <w:b/>
                <w:bCs/>
              </w:rPr>
              <w:t>3</w:t>
            </w:r>
            <w:r w:rsidRPr="00DE7340">
              <w:rPr>
                <w:b/>
                <w:bCs/>
              </w:rPr>
              <w:t xml:space="preserve"> </w:t>
            </w:r>
            <w:r w:rsidR="00A01E56" w:rsidRPr="00A01E56">
              <w:rPr>
                <w:b/>
                <w:bCs/>
              </w:rPr>
              <w:t>Capabilities under M3</w:t>
            </w:r>
            <w:r w:rsidR="00A01E56">
              <w:rPr>
                <w:b/>
                <w:bCs/>
              </w:rPr>
              <w:t>:</w:t>
            </w:r>
          </w:p>
          <w:p w14:paraId="3EBCBB27" w14:textId="3D438AAB" w:rsidR="00982F06" w:rsidRPr="00EF08A2" w:rsidRDefault="00982F06" w:rsidP="00C402F2">
            <w:pPr>
              <w:rPr>
                <w:b/>
                <w:bCs/>
              </w:rPr>
            </w:pPr>
          </w:p>
        </w:tc>
        <w:tc>
          <w:tcPr>
            <w:tcW w:w="1902" w:type="pct"/>
          </w:tcPr>
          <w:p w14:paraId="70E084EB" w14:textId="3CDD2F40" w:rsidR="00982F06" w:rsidRDefault="00982F06" w:rsidP="00C402F2">
            <w:r>
              <w:t xml:space="preserve">1. </w:t>
            </w:r>
            <w:r w:rsidRPr="00C402F2">
              <w:t>Consent Request</w:t>
            </w:r>
          </w:p>
          <w:p w14:paraId="327407CB" w14:textId="77777777" w:rsidR="00982F06" w:rsidRDefault="00982F06" w:rsidP="00C402F2"/>
          <w:p w14:paraId="0FE58AAE" w14:textId="77777777" w:rsidR="00982F06" w:rsidRPr="00C402F2" w:rsidRDefault="00982F06" w:rsidP="00C402F2"/>
          <w:p w14:paraId="29727F72" w14:textId="77777777" w:rsidR="00982F06" w:rsidRDefault="00982F06" w:rsidP="00C402F2">
            <w:r>
              <w:t xml:space="preserve">2. </w:t>
            </w:r>
            <w:r w:rsidRPr="00C402F2">
              <w:t>Status Tracking</w:t>
            </w:r>
          </w:p>
          <w:p w14:paraId="665A2E86" w14:textId="77777777" w:rsidR="00982F06" w:rsidRDefault="00982F06" w:rsidP="00C402F2">
            <w:r>
              <w:br/>
              <w:t xml:space="preserve">3. </w:t>
            </w:r>
            <w:r w:rsidRPr="00C402F2">
              <w:t>Consent Artefacts</w:t>
            </w:r>
          </w:p>
          <w:p w14:paraId="72A48EB5" w14:textId="77777777" w:rsidR="00982F06" w:rsidRDefault="00982F06" w:rsidP="00161E1F"/>
          <w:p w14:paraId="08C9F47E" w14:textId="77777777" w:rsidR="00982F06" w:rsidRPr="00C402F2" w:rsidRDefault="00982F06" w:rsidP="00C402F2">
            <w:r>
              <w:t xml:space="preserve">4. </w:t>
            </w:r>
            <w:r w:rsidRPr="00C402F2">
              <w:t>Health-Information Request</w:t>
            </w:r>
          </w:p>
          <w:p w14:paraId="65444E6C" w14:textId="77777777" w:rsidR="00982F06" w:rsidRDefault="00982F06" w:rsidP="00161E1F"/>
          <w:p w14:paraId="06E33B6C" w14:textId="66B57001" w:rsidR="00982F06" w:rsidRPr="00C402F2" w:rsidRDefault="00982F06" w:rsidP="00161E1F">
            <w:r>
              <w:t xml:space="preserve">5. </w:t>
            </w:r>
            <w:r w:rsidRPr="00C402F2">
              <w:t>Data Receipt</w:t>
            </w:r>
          </w:p>
        </w:tc>
        <w:tc>
          <w:tcPr>
            <w:tcW w:w="2333" w:type="pct"/>
          </w:tcPr>
          <w:p w14:paraId="23873E15" w14:textId="41A0D6B1" w:rsidR="00802136" w:rsidRPr="00802136" w:rsidRDefault="00802136" w:rsidP="00802136">
            <w:pPr>
              <w:rPr>
                <w:b/>
                <w:bCs/>
                <w:lang w:eastAsia="en-IN"/>
              </w:rPr>
            </w:pPr>
            <w:r w:rsidRPr="00802136">
              <w:rPr>
                <w:b/>
                <w:bCs/>
                <w:lang w:eastAsia="en-IN"/>
              </w:rPr>
              <w:t>M3 Functionality:</w:t>
            </w:r>
          </w:p>
          <w:p w14:paraId="30BC9F65" w14:textId="3E0D6923" w:rsidR="000D150A" w:rsidRDefault="000D150A" w:rsidP="000D150A">
            <w:pPr>
              <w:pStyle w:val="ListParagraph"/>
              <w:numPr>
                <w:ilvl w:val="0"/>
                <w:numId w:val="1"/>
              </w:numPr>
              <w:spacing w:after="160" w:line="278" w:lineRule="auto"/>
              <w:rPr>
                <w:lang w:eastAsia="en-IN"/>
              </w:rPr>
            </w:pPr>
            <w:r>
              <w:t>Initiate a consent request using the patient’s ABHA Address, specified health-information types and defined date range.</w:t>
            </w:r>
          </w:p>
          <w:p w14:paraId="4F3BACF3" w14:textId="77777777" w:rsidR="000D150A" w:rsidRDefault="000D150A" w:rsidP="000D150A">
            <w:pPr>
              <w:pStyle w:val="ListParagraph"/>
              <w:numPr>
                <w:ilvl w:val="0"/>
                <w:numId w:val="1"/>
              </w:numPr>
              <w:spacing w:after="160" w:line="278" w:lineRule="auto"/>
            </w:pPr>
            <w:r>
              <w:t>Track the consent status as Granted, Revoked, Expired or Denied.</w:t>
            </w:r>
          </w:p>
          <w:p w14:paraId="3F66B627" w14:textId="77777777" w:rsidR="000D150A" w:rsidRDefault="000D150A" w:rsidP="000D150A">
            <w:pPr>
              <w:pStyle w:val="ListParagraph"/>
              <w:numPr>
                <w:ilvl w:val="0"/>
                <w:numId w:val="1"/>
              </w:numPr>
              <w:spacing w:after="160" w:line="278" w:lineRule="auto"/>
            </w:pPr>
            <w:r>
              <w:t>Receive and fetch all consent artefacts generated upon approval.</w:t>
            </w:r>
          </w:p>
          <w:p w14:paraId="6266C1C5" w14:textId="77777777" w:rsidR="000D150A" w:rsidRDefault="000D150A" w:rsidP="000D150A">
            <w:pPr>
              <w:pStyle w:val="ListParagraph"/>
              <w:numPr>
                <w:ilvl w:val="0"/>
                <w:numId w:val="1"/>
              </w:numPr>
              <w:spacing w:after="160" w:line="278" w:lineRule="auto"/>
            </w:pPr>
            <w:r>
              <w:t>Request health information under a valid consent artefact.</w:t>
            </w:r>
          </w:p>
          <w:p w14:paraId="566B5FC2" w14:textId="2A133266" w:rsidR="00982F06" w:rsidRPr="00C402F2" w:rsidRDefault="000D150A" w:rsidP="000D150A">
            <w:pPr>
              <w:pStyle w:val="ListParagraph"/>
              <w:numPr>
                <w:ilvl w:val="0"/>
                <w:numId w:val="1"/>
              </w:numPr>
              <w:spacing w:after="160" w:line="278" w:lineRule="auto"/>
            </w:pPr>
            <w:r>
              <w:t>Receive and decrypt the information through the specified data-push URL and submit the prescribed receipt-status notification.</w:t>
            </w:r>
          </w:p>
        </w:tc>
      </w:tr>
      <w:tr w:rsidR="00982F06" w:rsidRPr="00161E1F" w14:paraId="0718437F" w14:textId="77777777" w:rsidTr="00290B92">
        <w:tc>
          <w:tcPr>
            <w:tcW w:w="765" w:type="pct"/>
          </w:tcPr>
          <w:p w14:paraId="557BB025" w14:textId="754CB888" w:rsidR="00982F06" w:rsidRPr="00EF08A2" w:rsidRDefault="00637985" w:rsidP="00C402F2">
            <w:pPr>
              <w:rPr>
                <w:b/>
                <w:bCs/>
              </w:rPr>
            </w:pPr>
            <w:r w:rsidRPr="00DE7340">
              <w:rPr>
                <w:b/>
                <w:bCs/>
              </w:rPr>
              <w:t>M</w:t>
            </w:r>
            <w:r>
              <w:rPr>
                <w:b/>
                <w:bCs/>
              </w:rPr>
              <w:t>3</w:t>
            </w:r>
            <w:r w:rsidRPr="00DE7340">
              <w:rPr>
                <w:b/>
                <w:bCs/>
              </w:rPr>
              <w:t xml:space="preserve"> </w:t>
            </w:r>
            <w:r w:rsidRPr="00A01E56">
              <w:rPr>
                <w:b/>
                <w:bCs/>
              </w:rPr>
              <w:t>Capabilities under M3</w:t>
            </w:r>
            <w:r>
              <w:rPr>
                <w:b/>
                <w:bCs/>
              </w:rPr>
              <w:t>:</w:t>
            </w:r>
          </w:p>
        </w:tc>
        <w:tc>
          <w:tcPr>
            <w:tcW w:w="1902" w:type="pct"/>
          </w:tcPr>
          <w:p w14:paraId="3F1F771B" w14:textId="78DB4566" w:rsidR="00982F06" w:rsidRDefault="00637985" w:rsidP="00C402F2">
            <w:r w:rsidRPr="00637985">
              <w:t xml:space="preserve">Milestone 3 does not cover ABHA creation under Milestone 1 or health-record linking and sharing by a Health Information Provider under Milestone </w:t>
            </w:r>
            <w:r w:rsidRPr="00637985">
              <w:lastRenderedPageBreak/>
              <w:t xml:space="preserve">2. An entity performing both HIP and HIU roles shall implement the applicable </w:t>
            </w:r>
            <w:hyperlink r:id="rId8" w:history="1">
              <w:r w:rsidRPr="00637985">
                <w:rPr>
                  <w:rStyle w:val="Hyperlink"/>
                  <w:b/>
                  <w:bCs/>
                </w:rPr>
                <w:t>Milestone 2</w:t>
              </w:r>
            </w:hyperlink>
            <w:r w:rsidRPr="00637985">
              <w:t xml:space="preserve"> and Milestone 3 workflows</w:t>
            </w:r>
          </w:p>
        </w:tc>
        <w:tc>
          <w:tcPr>
            <w:tcW w:w="2333" w:type="pct"/>
          </w:tcPr>
          <w:p w14:paraId="3529290A" w14:textId="1B502980" w:rsidR="00982F06" w:rsidRPr="00C402F2" w:rsidRDefault="00557CD8" w:rsidP="00E5392D">
            <w:r w:rsidRPr="00802136">
              <w:rPr>
                <w:b/>
                <w:bCs/>
                <w:color w:val="FF0000"/>
              </w:rPr>
              <w:lastRenderedPageBreak/>
              <w:t>To be removed</w:t>
            </w:r>
          </w:p>
        </w:tc>
      </w:tr>
      <w:tr w:rsidR="00982F06" w:rsidRPr="00161E1F" w14:paraId="43CC230F" w14:textId="77777777" w:rsidTr="00290B92">
        <w:tc>
          <w:tcPr>
            <w:tcW w:w="765" w:type="pct"/>
          </w:tcPr>
          <w:p w14:paraId="6E833247" w14:textId="3E3C37E3" w:rsidR="00982F06" w:rsidRPr="00EF08A2" w:rsidRDefault="00EF5CE4" w:rsidP="00C402F2">
            <w:pPr>
              <w:rPr>
                <w:b/>
                <w:bCs/>
              </w:rPr>
            </w:pPr>
            <w:r w:rsidRPr="00EF08A2">
              <w:rPr>
                <w:b/>
                <w:bCs/>
              </w:rPr>
              <w:lastRenderedPageBreak/>
              <w:t xml:space="preserve">Who Needs </w:t>
            </w:r>
            <w:r w:rsidR="00EF08A2">
              <w:rPr>
                <w:b/>
                <w:bCs/>
              </w:rPr>
              <w:t>it</w:t>
            </w:r>
            <w:r w:rsidRPr="00EF08A2">
              <w:rPr>
                <w:b/>
                <w:bCs/>
              </w:rPr>
              <w:t>?</w:t>
            </w:r>
          </w:p>
        </w:tc>
        <w:tc>
          <w:tcPr>
            <w:tcW w:w="1902" w:type="pct"/>
          </w:tcPr>
          <w:p w14:paraId="6477F0DB" w14:textId="12B1C746" w:rsidR="00982F06" w:rsidRPr="00274406" w:rsidRDefault="002F662D" w:rsidP="00C402F2">
            <w:r w:rsidRPr="002F662D">
              <w:t>Milestone 3 applies to entities or applications performing the Health Information User (HIU) role and requiring access to health information held by one or more Health Information Providers. These may include healthcare facilities, insurers, referral-service providers, clinical decision-support applications and PHR applications acting on behalf of the patient.</w:t>
            </w:r>
          </w:p>
        </w:tc>
        <w:tc>
          <w:tcPr>
            <w:tcW w:w="2333" w:type="pct"/>
          </w:tcPr>
          <w:p w14:paraId="34F804A3" w14:textId="1D0DB431" w:rsidR="001C1CA5" w:rsidRPr="00494E45" w:rsidRDefault="00494E45" w:rsidP="001403DA">
            <w:pPr>
              <w:rPr>
                <w:b/>
                <w:bCs/>
              </w:rPr>
            </w:pPr>
            <w:r w:rsidRPr="001E5565">
              <w:rPr>
                <w:b/>
                <w:bCs/>
              </w:rPr>
              <w:t>Applicable For</w:t>
            </w:r>
          </w:p>
          <w:p w14:paraId="2B9FA03E" w14:textId="77777777" w:rsidR="00D60487" w:rsidRDefault="004C2F8E" w:rsidP="001403DA">
            <w:r w:rsidRPr="009F7DB5">
              <w:t xml:space="preserve">Milestone 3 </w:t>
            </w:r>
            <w:r w:rsidR="001403DA" w:rsidRPr="001403DA">
              <w:t>applies</w:t>
            </w:r>
            <w:r w:rsidRPr="009F7DB5">
              <w:t xml:space="preserve"> to entities or applications </w:t>
            </w:r>
            <w:r w:rsidR="001403DA" w:rsidRPr="001403DA">
              <w:t>performing</w:t>
            </w:r>
            <w:r w:rsidRPr="009F7DB5">
              <w:t xml:space="preserve"> the Health Information User </w:t>
            </w:r>
            <w:r w:rsidR="001403DA" w:rsidRPr="001403DA">
              <w:t xml:space="preserve">(HIU) </w:t>
            </w:r>
            <w:r w:rsidRPr="009F7DB5">
              <w:t xml:space="preserve">role and </w:t>
            </w:r>
            <w:r w:rsidR="001403DA" w:rsidRPr="001403DA">
              <w:t>requiring</w:t>
            </w:r>
            <w:r w:rsidRPr="009F7DB5">
              <w:t xml:space="preserve"> access to health information </w:t>
            </w:r>
            <w:r w:rsidR="001403DA" w:rsidRPr="001403DA">
              <w:t>held</w:t>
            </w:r>
            <w:r w:rsidRPr="009F7DB5">
              <w:t xml:space="preserve"> by one or more Health Information Providers.</w:t>
            </w:r>
            <w:r w:rsidR="001403DA" w:rsidRPr="001403DA">
              <w:t xml:space="preserve"> </w:t>
            </w:r>
          </w:p>
          <w:p w14:paraId="685FF1CD" w14:textId="6F22F861" w:rsidR="00982F06" w:rsidRPr="00274406" w:rsidRDefault="001403DA" w:rsidP="001403DA">
            <w:r w:rsidRPr="001403DA">
              <w:t>These</w:t>
            </w:r>
            <w:r w:rsidR="004C2F8E" w:rsidRPr="009F7DB5">
              <w:t xml:space="preserve"> may include healthcare facilities, insurers, referral-service providers, clinical decision-support applications and PHR applications </w:t>
            </w:r>
            <w:r w:rsidRPr="001403DA">
              <w:t>acting</w:t>
            </w:r>
            <w:r w:rsidR="004C2F8E" w:rsidRPr="009F7DB5">
              <w:t xml:space="preserve"> on behalf of the patient.</w:t>
            </w:r>
          </w:p>
        </w:tc>
      </w:tr>
      <w:tr w:rsidR="00982F06" w:rsidRPr="00161E1F" w14:paraId="29662A94" w14:textId="77777777" w:rsidTr="00290B92">
        <w:tc>
          <w:tcPr>
            <w:tcW w:w="765" w:type="pct"/>
          </w:tcPr>
          <w:p w14:paraId="61DF38DD" w14:textId="473525F4" w:rsidR="00982F06" w:rsidRPr="00EF08A2" w:rsidRDefault="00EF08A2" w:rsidP="00AE4D6F">
            <w:pPr>
              <w:rPr>
                <w:b/>
                <w:bCs/>
              </w:rPr>
            </w:pPr>
            <w:r>
              <w:rPr>
                <w:b/>
                <w:bCs/>
              </w:rPr>
              <w:t>Prerequisites</w:t>
            </w:r>
          </w:p>
        </w:tc>
        <w:tc>
          <w:tcPr>
            <w:tcW w:w="1902" w:type="pct"/>
          </w:tcPr>
          <w:p w14:paraId="436B5798" w14:textId="3A2CC06F" w:rsidR="00982F06" w:rsidRDefault="00982F06" w:rsidP="00AE4D6F">
            <w:r>
              <w:t>A working M1 Create integration, so you hold a session token and an ABHA address for the patient.</w:t>
            </w:r>
          </w:p>
          <w:p w14:paraId="080C3099" w14:textId="77777777" w:rsidR="00982F06" w:rsidRDefault="00982F06" w:rsidP="00AE4D6F">
            <w:r>
              <w:t>Registration in the HIU role, from M4 Enrol. A facility registers an HIU bridge against its facility ID. The HFR does not list insurers, so confirm which entry your organisation registers against. M4 blocks production, not your sandbox build.</w:t>
            </w:r>
          </w:p>
          <w:p w14:paraId="0E614522" w14:textId="56B110E8" w:rsidR="00982F06" w:rsidRPr="009F7DB5" w:rsidRDefault="00982F06" w:rsidP="00AE4D6F">
            <w:r>
              <w:t>A callback URL the gateway can reach, and a key pair for decryption.</w:t>
            </w:r>
          </w:p>
        </w:tc>
        <w:tc>
          <w:tcPr>
            <w:tcW w:w="2333" w:type="pct"/>
          </w:tcPr>
          <w:p w14:paraId="6A479BD1" w14:textId="7C40CC87" w:rsidR="00AF4FA3" w:rsidRPr="00AF4FA3" w:rsidRDefault="008C586D" w:rsidP="00AF4FA3">
            <w:r w:rsidRPr="008C586D">
              <w:t xml:space="preserve">Before implementing Milestone 3, </w:t>
            </w:r>
            <w:r w:rsidR="00AF4FA3">
              <w:t>t</w:t>
            </w:r>
            <w:r w:rsidR="00AF4FA3" w:rsidRPr="00AF4FA3">
              <w:t>he healthcare facility must complete M1 requirements</w:t>
            </w:r>
            <w:r w:rsidR="00AF4FA3" w:rsidRPr="00AF4FA3">
              <w:t xml:space="preserve"> and should be</w:t>
            </w:r>
            <w:r w:rsidR="00AF4FA3" w:rsidRPr="00AF4FA3">
              <w:t xml:space="preserve"> register</w:t>
            </w:r>
            <w:r w:rsidR="00AF4FA3" w:rsidRPr="00AF4FA3">
              <w:t>ed</w:t>
            </w:r>
            <w:r w:rsidR="00AF4FA3" w:rsidRPr="00AF4FA3">
              <w:t xml:space="preserve"> as an HIU</w:t>
            </w:r>
            <w:r w:rsidR="00063445">
              <w:t>.</w:t>
            </w:r>
          </w:p>
          <w:p w14:paraId="44A5D842" w14:textId="583194B0" w:rsidR="00982F06" w:rsidRPr="009F7DB5" w:rsidRDefault="00982F06" w:rsidP="008C586D"/>
        </w:tc>
      </w:tr>
      <w:tr w:rsidR="00982F06" w:rsidRPr="00161E1F" w14:paraId="7E353E13" w14:textId="77777777" w:rsidTr="00290B92">
        <w:tc>
          <w:tcPr>
            <w:tcW w:w="765" w:type="pct"/>
          </w:tcPr>
          <w:p w14:paraId="3EC198A9" w14:textId="622AA65D" w:rsidR="00982F06" w:rsidRPr="00EF08A2" w:rsidRDefault="00747747" w:rsidP="00AE4D6F">
            <w:pPr>
              <w:rPr>
                <w:b/>
                <w:bCs/>
              </w:rPr>
            </w:pPr>
            <w:r w:rsidRPr="00EF08A2">
              <w:rPr>
                <w:b/>
                <w:bCs/>
              </w:rPr>
              <w:t>What You Build, in Order</w:t>
            </w:r>
          </w:p>
        </w:tc>
        <w:tc>
          <w:tcPr>
            <w:tcW w:w="1902" w:type="pct"/>
          </w:tcPr>
          <w:p w14:paraId="0515F64A" w14:textId="4B956E9F" w:rsidR="00982F06" w:rsidRDefault="00982F06" w:rsidP="00AE4D6F">
            <w:r>
              <w:t>What you build, in order</w:t>
            </w:r>
          </w:p>
          <w:p w14:paraId="36962D28" w14:textId="77777777" w:rsidR="00982F06" w:rsidRDefault="00982F06" w:rsidP="00AE4D6F">
            <w:r>
              <w:t>Raise a consent request. You get a request id on a callback, not inline.</w:t>
            </w:r>
          </w:p>
          <w:p w14:paraId="3A4F1AD1" w14:textId="77777777" w:rsidR="00982F06" w:rsidRDefault="00982F06" w:rsidP="00AE4D6F">
            <w:r>
              <w:t>Track its status. Pending, granted or denied.</w:t>
            </w:r>
          </w:p>
          <w:p w14:paraId="07C4A21D" w14:textId="77777777" w:rsidR="00982F06" w:rsidRDefault="00982F06" w:rsidP="00AE4D6F">
            <w:r>
              <w:t>Collect the artefacts. A grant produces one or more artefact ids. Fetch each artefact.</w:t>
            </w:r>
          </w:p>
          <w:p w14:paraId="1D8BF260" w14:textId="77777777" w:rsidR="00982F06" w:rsidRDefault="00982F06" w:rsidP="00AE4D6F">
            <w:r>
              <w:t>Raise a health information request against an artefact.</w:t>
            </w:r>
          </w:p>
          <w:p w14:paraId="1CDE1D6D" w14:textId="77777777" w:rsidR="00982F06" w:rsidRDefault="00982F06" w:rsidP="00AE4D6F">
            <w:r>
              <w:lastRenderedPageBreak/>
              <w:t>Receive, decrypt and acknowledge the records on your callback URL.</w:t>
            </w:r>
          </w:p>
          <w:p w14:paraId="19BAA87E" w14:textId="101B9C31" w:rsidR="00982F06" w:rsidRDefault="00982F06" w:rsidP="00AE4D6F">
            <w:r>
              <w:t>Build for revocation from the start. A consent that worked yesterday can be withdrawn today, and that is the system working correctly.</w:t>
            </w:r>
          </w:p>
        </w:tc>
        <w:tc>
          <w:tcPr>
            <w:tcW w:w="2333" w:type="pct"/>
          </w:tcPr>
          <w:p w14:paraId="6B6D4F15" w14:textId="1919B5D8" w:rsidR="00A33C31" w:rsidRPr="00A33C31" w:rsidRDefault="00A33C31" w:rsidP="00A33C31">
            <w:pPr>
              <w:rPr>
                <w:lang w:eastAsia="en-IN"/>
              </w:rPr>
            </w:pPr>
            <w:r w:rsidRPr="00A33C31">
              <w:rPr>
                <w:lang w:eastAsia="en-IN"/>
              </w:rPr>
              <w:lastRenderedPageBreak/>
              <w:t xml:space="preserve">What you build, </w:t>
            </w:r>
            <w:proofErr w:type="gramStart"/>
            <w:r w:rsidRPr="00A33C31">
              <w:rPr>
                <w:lang w:eastAsia="en-IN"/>
              </w:rPr>
              <w:t>in order</w:t>
            </w:r>
            <w:r>
              <w:rPr>
                <w:lang w:eastAsia="en-IN"/>
              </w:rPr>
              <w:t xml:space="preserve"> </w:t>
            </w:r>
            <w:r w:rsidRPr="00B37826">
              <w:rPr>
                <w:b/>
                <w:bCs/>
                <w:lang w:eastAsia="en-IN"/>
              </w:rPr>
              <w:t>to</w:t>
            </w:r>
            <w:proofErr w:type="gramEnd"/>
            <w:r w:rsidRPr="00B37826">
              <w:rPr>
                <w:b/>
                <w:bCs/>
                <w:lang w:eastAsia="en-IN"/>
              </w:rPr>
              <w:t xml:space="preserve"> be changed to</w:t>
            </w:r>
            <w:r>
              <w:rPr>
                <w:lang w:eastAsia="en-IN"/>
              </w:rPr>
              <w:t xml:space="preserve"> </w:t>
            </w:r>
            <w:r w:rsidR="00BC5A26">
              <w:rPr>
                <w:lang w:eastAsia="en-IN"/>
              </w:rPr>
              <w:t>Consent Management</w:t>
            </w:r>
          </w:p>
          <w:p w14:paraId="3328BA04" w14:textId="77777777" w:rsidR="00A33C31" w:rsidRDefault="00A33C31" w:rsidP="00A33C31">
            <w:pPr>
              <w:rPr>
                <w:lang w:eastAsia="en-IN"/>
              </w:rPr>
            </w:pPr>
          </w:p>
          <w:p w14:paraId="58F9A50B" w14:textId="74A68427" w:rsidR="008C586D" w:rsidRDefault="008C586D" w:rsidP="008C586D">
            <w:pPr>
              <w:pStyle w:val="ListParagraph"/>
              <w:numPr>
                <w:ilvl w:val="0"/>
                <w:numId w:val="5"/>
              </w:numPr>
              <w:spacing w:after="160" w:line="278" w:lineRule="auto"/>
              <w:rPr>
                <w:lang w:eastAsia="en-IN"/>
              </w:rPr>
            </w:pPr>
            <w:r>
              <w:t>Initiate the consent request and receive its identifier through the prescribed callback.</w:t>
            </w:r>
          </w:p>
          <w:p w14:paraId="7C3D7AB9" w14:textId="77777777" w:rsidR="008C586D" w:rsidRDefault="008C586D" w:rsidP="008C586D">
            <w:pPr>
              <w:pStyle w:val="ListParagraph"/>
              <w:numPr>
                <w:ilvl w:val="0"/>
                <w:numId w:val="5"/>
              </w:numPr>
              <w:spacing w:after="160" w:line="278" w:lineRule="auto"/>
            </w:pPr>
            <w:r>
              <w:t>Track the consent status as Granted, Revoked, Expired or Denied.</w:t>
            </w:r>
          </w:p>
          <w:p w14:paraId="5D9A0257" w14:textId="77777777" w:rsidR="008C586D" w:rsidRDefault="008C586D" w:rsidP="008C586D">
            <w:pPr>
              <w:pStyle w:val="ListParagraph"/>
              <w:numPr>
                <w:ilvl w:val="0"/>
                <w:numId w:val="5"/>
              </w:numPr>
              <w:spacing w:after="160" w:line="278" w:lineRule="auto"/>
            </w:pPr>
            <w:r>
              <w:lastRenderedPageBreak/>
              <w:t>Fetch all consent artefacts generated against the approved request.</w:t>
            </w:r>
          </w:p>
          <w:p w14:paraId="7858BC9D" w14:textId="77777777" w:rsidR="008C586D" w:rsidRDefault="008C586D" w:rsidP="008C586D">
            <w:pPr>
              <w:pStyle w:val="ListParagraph"/>
              <w:numPr>
                <w:ilvl w:val="0"/>
                <w:numId w:val="5"/>
              </w:numPr>
              <w:spacing w:after="160" w:line="278" w:lineRule="auto"/>
            </w:pPr>
            <w:r>
              <w:t>Initiate the health-information request against the relevant valid consent artefact.</w:t>
            </w:r>
          </w:p>
          <w:p w14:paraId="7F48BA48" w14:textId="77777777" w:rsidR="008C586D" w:rsidRDefault="008C586D" w:rsidP="008C586D">
            <w:pPr>
              <w:pStyle w:val="ListParagraph"/>
              <w:numPr>
                <w:ilvl w:val="0"/>
                <w:numId w:val="5"/>
              </w:numPr>
              <w:spacing w:after="160" w:line="278" w:lineRule="auto"/>
            </w:pPr>
            <w:r>
              <w:t>Receive and decrypt the information through the specified data-push URL and submit the prescribed receipt-status notification.</w:t>
            </w:r>
          </w:p>
          <w:p w14:paraId="28DE9635" w14:textId="4613E356" w:rsidR="00982F06" w:rsidRPr="00AE4D6F" w:rsidRDefault="008C586D" w:rsidP="008C586D">
            <w:pPr>
              <w:pStyle w:val="ListParagraph"/>
              <w:numPr>
                <w:ilvl w:val="0"/>
                <w:numId w:val="5"/>
              </w:numPr>
              <w:spacing w:after="160" w:line="278" w:lineRule="auto"/>
            </w:pPr>
            <w:r>
              <w:t>Discontinue access upon consent expiry</w:t>
            </w:r>
            <w:r w:rsidR="00EF08A2">
              <w:t xml:space="preserve"> </w:t>
            </w:r>
            <w:r>
              <w:t>or revocation.</w:t>
            </w:r>
          </w:p>
        </w:tc>
      </w:tr>
      <w:tr w:rsidR="00290B92" w:rsidRPr="00161E1F" w14:paraId="4AC36C96" w14:textId="77777777" w:rsidTr="00290B92">
        <w:tc>
          <w:tcPr>
            <w:tcW w:w="765" w:type="pct"/>
          </w:tcPr>
          <w:p w14:paraId="086119F4" w14:textId="26AF44BE" w:rsidR="00290B92" w:rsidRPr="00EF08A2" w:rsidRDefault="00290B92" w:rsidP="00AE4D6F">
            <w:pPr>
              <w:rPr>
                <w:b/>
                <w:bCs/>
              </w:rPr>
            </w:pPr>
            <w:r>
              <w:rPr>
                <w:b/>
                <w:bCs/>
              </w:rPr>
              <w:lastRenderedPageBreak/>
              <w:t>Build it with an agent</w:t>
            </w:r>
          </w:p>
        </w:tc>
        <w:tc>
          <w:tcPr>
            <w:tcW w:w="1902" w:type="pct"/>
          </w:tcPr>
          <w:p w14:paraId="102D5B11" w14:textId="77777777" w:rsidR="00290B92" w:rsidRDefault="00290B92" w:rsidP="00AE4D6F"/>
        </w:tc>
        <w:tc>
          <w:tcPr>
            <w:tcW w:w="2333" w:type="pct"/>
          </w:tcPr>
          <w:p w14:paraId="370B6235" w14:textId="1E5F5BA8" w:rsidR="00290B92" w:rsidRDefault="000B5679" w:rsidP="000B5679">
            <w:pPr>
              <w:pStyle w:val="ListParagraph"/>
              <w:ind w:left="1440"/>
            </w:pPr>
            <w:r>
              <w:t xml:space="preserve">Purpose not clear </w:t>
            </w:r>
            <w:r w:rsidR="009A0C46">
              <w:t>of this section</w:t>
            </w:r>
          </w:p>
        </w:tc>
      </w:tr>
      <w:tr w:rsidR="009A0C46" w:rsidRPr="00161E1F" w14:paraId="77F98659" w14:textId="77777777" w:rsidTr="00290B92">
        <w:tc>
          <w:tcPr>
            <w:tcW w:w="765" w:type="pct"/>
          </w:tcPr>
          <w:p w14:paraId="75AE7F63" w14:textId="5C2246C7" w:rsidR="009A0C46" w:rsidRDefault="009A0C46" w:rsidP="009A0C46">
            <w:pPr>
              <w:rPr>
                <w:b/>
                <w:bCs/>
              </w:rPr>
            </w:pPr>
            <w:r>
              <w:rPr>
                <w:b/>
                <w:bCs/>
              </w:rPr>
              <w:t>Certification</w:t>
            </w:r>
          </w:p>
        </w:tc>
        <w:tc>
          <w:tcPr>
            <w:tcW w:w="1902" w:type="pct"/>
          </w:tcPr>
          <w:p w14:paraId="4259FC04" w14:textId="77777777" w:rsidR="009A0C46" w:rsidRDefault="009A0C46" w:rsidP="009A0C46"/>
        </w:tc>
        <w:tc>
          <w:tcPr>
            <w:tcW w:w="2333" w:type="pct"/>
          </w:tcPr>
          <w:p w14:paraId="1125F375" w14:textId="2C0550B2" w:rsidR="009A0C46" w:rsidRDefault="009A0C46" w:rsidP="009A0C46">
            <w:pPr>
              <w:pStyle w:val="ListParagraph"/>
              <w:ind w:left="1440"/>
            </w:pPr>
            <w:r>
              <w:t>Purpose not clear of this section</w:t>
            </w:r>
          </w:p>
        </w:tc>
      </w:tr>
      <w:tr w:rsidR="009A0C46" w:rsidRPr="00161E1F" w14:paraId="5B196B19" w14:textId="77777777" w:rsidTr="00290B92">
        <w:tc>
          <w:tcPr>
            <w:tcW w:w="765" w:type="pct"/>
          </w:tcPr>
          <w:p w14:paraId="3F644EC0" w14:textId="066D0536" w:rsidR="009A0C46" w:rsidRPr="00EF08A2" w:rsidRDefault="009A0C46" w:rsidP="009A0C46">
            <w:pPr>
              <w:rPr>
                <w:b/>
                <w:bCs/>
              </w:rPr>
            </w:pPr>
            <w:r>
              <w:rPr>
                <w:b/>
                <w:bCs/>
              </w:rPr>
              <w:t>The Journey, One Diagram Per Flow</w:t>
            </w:r>
          </w:p>
        </w:tc>
        <w:tc>
          <w:tcPr>
            <w:tcW w:w="1902" w:type="pct"/>
          </w:tcPr>
          <w:p w14:paraId="6BCF9F83" w14:textId="240A6F80" w:rsidR="009A0C46" w:rsidRDefault="009A0C46" w:rsidP="009A0C46">
            <w:r w:rsidRPr="001832A5">
              <w:t xml:space="preserve">Milestone 3 (M3) of ABDM is one story in three parts: a doctor asks for a patient's past records, the patient says yes or no, and if </w:t>
            </w:r>
            <w:proofErr w:type="gramStart"/>
            <w:r w:rsidRPr="001832A5">
              <w:t>yes</w:t>
            </w:r>
            <w:proofErr w:type="gramEnd"/>
            <w:r w:rsidRPr="001832A5">
              <w:t xml:space="preserve"> the records travel. Each part is drawn below, so you can see the round trips before you read the API reference.</w:t>
            </w:r>
          </w:p>
        </w:tc>
        <w:tc>
          <w:tcPr>
            <w:tcW w:w="2333" w:type="pct"/>
          </w:tcPr>
          <w:p w14:paraId="172755F6" w14:textId="08E6C0E3" w:rsidR="009A0C46" w:rsidRDefault="009A0C46" w:rsidP="009A0C46">
            <w:r w:rsidRPr="001832A5">
              <w:t xml:space="preserve">Milestone 3 covers the consent-management and health-information exchange workflow </w:t>
            </w:r>
            <w:r w:rsidRPr="00EF08A2">
              <w:t>of</w:t>
            </w:r>
            <w:r w:rsidRPr="001832A5">
              <w:t xml:space="preserve"> a Health Information User (HIU). The HIU initiates a consent request for specified health information</w:t>
            </w:r>
            <w:r w:rsidRPr="00EF08A2">
              <w:t xml:space="preserve">. Upon </w:t>
            </w:r>
            <w:r w:rsidRPr="001832A5">
              <w:t xml:space="preserve">the </w:t>
            </w:r>
            <w:r w:rsidRPr="00EF08A2">
              <w:t>patient’s</w:t>
            </w:r>
            <w:r w:rsidRPr="001832A5">
              <w:t xml:space="preserve"> approval, the HIU fetches the applicable consent artefact and initiates the health-information request. The following diagrams illustrate </w:t>
            </w:r>
            <w:r w:rsidRPr="00EF08A2">
              <w:t>this</w:t>
            </w:r>
            <w:r w:rsidRPr="001832A5">
              <w:t xml:space="preserve"> workflow and shall be read with the applicable M3 API specifications.</w:t>
            </w:r>
          </w:p>
        </w:tc>
      </w:tr>
      <w:tr w:rsidR="009A0C46" w:rsidRPr="00161E1F" w14:paraId="395875B7" w14:textId="77777777" w:rsidTr="00290B92">
        <w:tc>
          <w:tcPr>
            <w:tcW w:w="765" w:type="pct"/>
          </w:tcPr>
          <w:p w14:paraId="2DC3018D" w14:textId="0AA3A2FC" w:rsidR="009A0C46" w:rsidRPr="001832A5" w:rsidRDefault="009A0C46" w:rsidP="009A0C46">
            <w:r>
              <w:rPr>
                <w:b/>
                <w:bCs/>
              </w:rPr>
              <w:t>The Journey, One Diagram Per Flow</w:t>
            </w:r>
          </w:p>
        </w:tc>
        <w:tc>
          <w:tcPr>
            <w:tcW w:w="1902" w:type="pct"/>
          </w:tcPr>
          <w:p w14:paraId="21002E71" w14:textId="1C362C04" w:rsidR="009A0C46" w:rsidRPr="001832A5" w:rsidRDefault="009A0C46" w:rsidP="009A0C46">
            <w:r w:rsidRPr="000C515D">
              <w:rPr>
                <w:b/>
                <w:bCs/>
              </w:rPr>
              <w:t xml:space="preserve">In the diagram </w:t>
            </w:r>
            <w:r>
              <w:rPr>
                <w:b/>
                <w:bCs/>
              </w:rPr>
              <w:t>-</w:t>
            </w:r>
            <w:r w:rsidRPr="000C515D">
              <w:rPr>
                <w:b/>
                <w:bCs/>
              </w:rPr>
              <w:t xml:space="preserve"> What it is</w:t>
            </w:r>
            <w:r w:rsidRPr="000C515D">
              <w:br/>
            </w:r>
            <w:r w:rsidRPr="000C515D">
              <w:br/>
            </w:r>
            <w:r w:rsidRPr="000C515D">
              <w:rPr>
                <w:b/>
                <w:bCs/>
              </w:rPr>
              <w:t>Patient</w:t>
            </w:r>
            <w:r w:rsidRPr="000C515D">
              <w:t xml:space="preserve"> — The person whose records these are, acting in their PHR app</w:t>
            </w:r>
            <w:r w:rsidRPr="000C515D">
              <w:br/>
            </w:r>
            <w:r w:rsidRPr="000C515D">
              <w:br/>
            </w:r>
            <w:r w:rsidRPr="000C515D">
              <w:rPr>
                <w:b/>
                <w:bCs/>
              </w:rPr>
              <w:t>Your system</w:t>
            </w:r>
            <w:r w:rsidRPr="000C515D">
              <w:t xml:space="preserve"> — The software your organisation asks through</w:t>
            </w:r>
            <w:r w:rsidRPr="000C515D">
              <w:br/>
            </w:r>
            <w:r w:rsidRPr="000C515D">
              <w:br/>
            </w:r>
            <w:r w:rsidRPr="000C515D">
              <w:rPr>
                <w:b/>
                <w:bCs/>
              </w:rPr>
              <w:lastRenderedPageBreak/>
              <w:t>HIE-CM gateway</w:t>
            </w:r>
            <w:r w:rsidRPr="000C515D">
              <w:t xml:space="preserve"> — The gateway, which routes every call and callback</w:t>
            </w:r>
            <w:r w:rsidRPr="000C515D">
              <w:br/>
            </w:r>
            <w:r w:rsidRPr="000C515D">
              <w:br/>
            </w:r>
            <w:r w:rsidRPr="000C515D">
              <w:rPr>
                <w:b/>
                <w:bCs/>
              </w:rPr>
              <w:t>HIE-CM</w:t>
            </w:r>
            <w:r w:rsidRPr="000C515D">
              <w:t xml:space="preserve"> — The HIE-CM, which holds consent and asks the patient</w:t>
            </w:r>
            <w:r w:rsidRPr="000C515D">
              <w:br/>
            </w:r>
            <w:r w:rsidRPr="000C515D">
              <w:br/>
            </w:r>
            <w:r w:rsidRPr="000C515D">
              <w:rPr>
                <w:b/>
                <w:bCs/>
              </w:rPr>
              <w:t>HIP</w:t>
            </w:r>
            <w:r w:rsidRPr="000C515D">
              <w:t xml:space="preserve"> — The facility holding the records. It is the HIP when it publishes them, in journeys 2 and 3</w:t>
            </w:r>
          </w:p>
        </w:tc>
        <w:tc>
          <w:tcPr>
            <w:tcW w:w="2333" w:type="pct"/>
          </w:tcPr>
          <w:p w14:paraId="1F026138" w14:textId="3694C8F3" w:rsidR="009A0C46" w:rsidRPr="001832A5" w:rsidRDefault="009A0C46" w:rsidP="009A0C46">
            <w:r w:rsidRPr="009E75C6">
              <w:rPr>
                <w:b/>
                <w:bCs/>
              </w:rPr>
              <w:lastRenderedPageBreak/>
              <w:t xml:space="preserve">In the diagram </w:t>
            </w:r>
            <w:r>
              <w:rPr>
                <w:b/>
                <w:bCs/>
              </w:rPr>
              <w:t>-</w:t>
            </w:r>
            <w:r w:rsidRPr="009E75C6">
              <w:rPr>
                <w:b/>
                <w:bCs/>
              </w:rPr>
              <w:t xml:space="preserve"> Description</w:t>
            </w:r>
            <w:r w:rsidRPr="009E75C6">
              <w:br/>
            </w:r>
            <w:r w:rsidRPr="009E75C6">
              <w:br/>
            </w:r>
            <w:r w:rsidRPr="009E75C6">
              <w:rPr>
                <w:b/>
                <w:bCs/>
              </w:rPr>
              <w:t>Patient</w:t>
            </w:r>
            <w:r w:rsidRPr="009E75C6">
              <w:t xml:space="preserve"> </w:t>
            </w:r>
            <w:r>
              <w:t xml:space="preserve">- </w:t>
            </w:r>
            <w:r w:rsidRPr="009E75C6">
              <w:t>The individual whose health records are requested, acting through the PHR application.</w:t>
            </w:r>
            <w:r w:rsidRPr="009E75C6">
              <w:br/>
            </w:r>
            <w:r w:rsidRPr="009E75C6">
              <w:br/>
            </w:r>
            <w:r w:rsidR="00F36C91" w:rsidRPr="00F36C91">
              <w:rPr>
                <w:b/>
                <w:bCs/>
              </w:rPr>
              <w:t>Application/System</w:t>
            </w:r>
            <w:r w:rsidRPr="009E75C6">
              <w:t xml:space="preserve"> </w:t>
            </w:r>
            <w:r>
              <w:t xml:space="preserve">- </w:t>
            </w:r>
            <w:r w:rsidRPr="009E75C6">
              <w:t>The organisation’s software application through which the request is initiated.</w:t>
            </w:r>
            <w:r w:rsidRPr="009E75C6">
              <w:br/>
            </w:r>
            <w:r w:rsidRPr="009E75C6">
              <w:br/>
            </w:r>
            <w:r w:rsidRPr="009E75C6">
              <w:rPr>
                <w:b/>
                <w:bCs/>
              </w:rPr>
              <w:lastRenderedPageBreak/>
              <w:t>HIE-CM Gateway</w:t>
            </w:r>
            <w:r w:rsidRPr="009E75C6">
              <w:t xml:space="preserve"> </w:t>
            </w:r>
            <w:r>
              <w:t xml:space="preserve">- </w:t>
            </w:r>
            <w:r w:rsidRPr="009E75C6">
              <w:t xml:space="preserve">The </w:t>
            </w:r>
            <w:r>
              <w:t xml:space="preserve">ABDM </w:t>
            </w:r>
            <w:r w:rsidRPr="009E75C6">
              <w:t>gateway responsible for routing all API requests and callbacks.</w:t>
            </w:r>
            <w:r w:rsidRPr="009E75C6">
              <w:br/>
            </w:r>
            <w:r w:rsidRPr="009E75C6">
              <w:br/>
            </w:r>
            <w:r w:rsidRPr="009E75C6">
              <w:rPr>
                <w:b/>
                <w:bCs/>
              </w:rPr>
              <w:t>HIE-CM</w:t>
            </w:r>
            <w:r w:rsidRPr="009E75C6">
              <w:t xml:space="preserve"> </w:t>
            </w:r>
            <w:r>
              <w:t xml:space="preserve">- </w:t>
            </w:r>
            <w:r w:rsidRPr="009E75C6">
              <w:t>The consent manager responsible for managing consent and notifying the patient.</w:t>
            </w:r>
            <w:r w:rsidRPr="009E75C6">
              <w:br/>
            </w:r>
            <w:r w:rsidRPr="009E75C6">
              <w:br/>
            </w:r>
            <w:r w:rsidRPr="009E75C6">
              <w:rPr>
                <w:b/>
                <w:bCs/>
              </w:rPr>
              <w:t>HIP</w:t>
            </w:r>
            <w:r w:rsidRPr="009E75C6">
              <w:t xml:space="preserve"> </w:t>
            </w:r>
            <w:r>
              <w:t xml:space="preserve">- </w:t>
            </w:r>
            <w:r w:rsidRPr="009E75C6">
              <w:t>The healthcare facility holding the records and acting as the Health Information Provider</w:t>
            </w:r>
            <w:r>
              <w:t>.</w:t>
            </w:r>
          </w:p>
        </w:tc>
      </w:tr>
      <w:tr w:rsidR="00C0489A" w:rsidRPr="00161E1F" w14:paraId="48A67EA4" w14:textId="77777777" w:rsidTr="00290B92">
        <w:tc>
          <w:tcPr>
            <w:tcW w:w="765" w:type="pct"/>
          </w:tcPr>
          <w:p w14:paraId="67D0ACFF" w14:textId="77777777" w:rsidR="00763DA4" w:rsidRPr="00763DA4" w:rsidRDefault="00763DA4" w:rsidP="00763DA4">
            <w:pPr>
              <w:rPr>
                <w:b/>
                <w:bCs/>
              </w:rPr>
            </w:pPr>
            <w:r w:rsidRPr="00763DA4">
              <w:rPr>
                <w:b/>
                <w:bCs/>
              </w:rPr>
              <w:lastRenderedPageBreak/>
              <w:t>Journey 1: raising a consent request</w:t>
            </w:r>
          </w:p>
          <w:p w14:paraId="00D1E66C" w14:textId="77777777" w:rsidR="00C0489A" w:rsidRDefault="00C0489A" w:rsidP="009A0C46">
            <w:pPr>
              <w:rPr>
                <w:b/>
                <w:bCs/>
              </w:rPr>
            </w:pPr>
          </w:p>
        </w:tc>
        <w:tc>
          <w:tcPr>
            <w:tcW w:w="1902" w:type="pct"/>
          </w:tcPr>
          <w:p w14:paraId="0F815F54" w14:textId="157FFBAA" w:rsidR="00C0489A" w:rsidRPr="00843E09" w:rsidRDefault="008F3FA0" w:rsidP="009A0C46">
            <w:r w:rsidRPr="00843E09">
              <w:t xml:space="preserve">Flow chart </w:t>
            </w:r>
          </w:p>
        </w:tc>
        <w:tc>
          <w:tcPr>
            <w:tcW w:w="2333" w:type="pct"/>
          </w:tcPr>
          <w:p w14:paraId="301D609C" w14:textId="77777777" w:rsidR="00E05FB4" w:rsidRPr="00E05FB4" w:rsidRDefault="00E05FB4" w:rsidP="00E05FB4">
            <w:r w:rsidRPr="00E05FB4">
              <w:t>An HIU requests access to a patient’s health data by sending a consent request with the patient’s ABHA address via the</w:t>
            </w:r>
            <w:r w:rsidRPr="00E05FB4">
              <w:rPr>
                <w:b/>
                <w:bCs/>
              </w:rPr>
              <w:t xml:space="preserve"> </w:t>
            </w:r>
            <w:r w:rsidRPr="00E05FB4">
              <w:t>HIE-CM.</w:t>
            </w:r>
          </w:p>
          <w:p w14:paraId="72101484" w14:textId="77777777" w:rsidR="00E05FB4" w:rsidRPr="00E05FB4" w:rsidRDefault="00E05FB4" w:rsidP="00E05FB4">
            <w:r w:rsidRPr="00E05FB4">
              <w:t>The HIE-CM acknowledges the request and returns a Consent Request ID through the Gateway.</w:t>
            </w:r>
          </w:p>
          <w:p w14:paraId="6DEFEF9B" w14:textId="77777777" w:rsidR="00E05FB4" w:rsidRPr="00E05FB4" w:rsidRDefault="00E05FB4" w:rsidP="00E05FB4">
            <w:r w:rsidRPr="00E05FB4">
              <w:t>The patient is notified by the HIE-CM and can review, approve, or deny the consent request.</w:t>
            </w:r>
          </w:p>
          <w:p w14:paraId="7132E5CB" w14:textId="28C7FDA1" w:rsidR="00C0489A" w:rsidRPr="009E75C6" w:rsidRDefault="00E05FB4" w:rsidP="00E05FB4">
            <w:pPr>
              <w:rPr>
                <w:b/>
                <w:bCs/>
              </w:rPr>
            </w:pPr>
            <w:r w:rsidRPr="00E05FB4">
              <w:t>The HIE-CM then communicates the patient's consent status back to the HIU through the Gateway.</w:t>
            </w:r>
          </w:p>
        </w:tc>
      </w:tr>
      <w:tr w:rsidR="00981355" w:rsidRPr="00161E1F" w14:paraId="52E1DCE0" w14:textId="77777777" w:rsidTr="00290B92">
        <w:tc>
          <w:tcPr>
            <w:tcW w:w="765" w:type="pct"/>
          </w:tcPr>
          <w:p w14:paraId="45785F8F" w14:textId="77777777" w:rsidR="008F3FA0" w:rsidRPr="008F3FA0" w:rsidRDefault="008F3FA0" w:rsidP="008F3FA0">
            <w:pPr>
              <w:rPr>
                <w:b/>
                <w:bCs/>
              </w:rPr>
            </w:pPr>
            <w:r w:rsidRPr="008F3FA0">
              <w:rPr>
                <w:b/>
                <w:bCs/>
              </w:rPr>
              <w:t>Journey 2: the patient grants or denies</w:t>
            </w:r>
          </w:p>
          <w:p w14:paraId="7B34F672" w14:textId="77777777" w:rsidR="00981355" w:rsidRPr="00763DA4" w:rsidRDefault="00981355" w:rsidP="00763DA4">
            <w:pPr>
              <w:rPr>
                <w:b/>
                <w:bCs/>
              </w:rPr>
            </w:pPr>
          </w:p>
        </w:tc>
        <w:tc>
          <w:tcPr>
            <w:tcW w:w="1902" w:type="pct"/>
          </w:tcPr>
          <w:p w14:paraId="6348CB5B" w14:textId="77777777" w:rsidR="003812E4" w:rsidRPr="003812E4" w:rsidRDefault="003812E4" w:rsidP="003812E4">
            <w:pPr>
              <w:numPr>
                <w:ilvl w:val="0"/>
                <w:numId w:val="6"/>
              </w:numPr>
            </w:pPr>
            <w:r w:rsidRPr="003812E4">
              <w:t>If the request is approved, the HIE-CM shares the consent artefact IDs generated for that request with the HIU.</w:t>
            </w:r>
          </w:p>
          <w:p w14:paraId="7AAE5FB6" w14:textId="77777777" w:rsidR="003812E4" w:rsidRDefault="003812E4" w:rsidP="003812E4">
            <w:pPr>
              <w:numPr>
                <w:ilvl w:val="0"/>
                <w:numId w:val="6"/>
              </w:numPr>
            </w:pPr>
            <w:r w:rsidRPr="003812E4">
              <w:t>If the request is denied, the HIE-CM notifies the HIU that the consent request has been rejected.</w:t>
            </w:r>
          </w:p>
          <w:p w14:paraId="5699C995" w14:textId="77777777" w:rsidR="002105E1" w:rsidRDefault="002105E1" w:rsidP="002105E1">
            <w:r>
              <w:t>A grant carries an expiry. The patient sets when the permission runs out.</w:t>
            </w:r>
          </w:p>
          <w:p w14:paraId="64D73729" w14:textId="77777777" w:rsidR="002105E1" w:rsidRDefault="002105E1" w:rsidP="002105E1">
            <w:r>
              <w:t>A grant can produce more than one consent artefact. Store every id the grant returns.</w:t>
            </w:r>
          </w:p>
          <w:p w14:paraId="25504609" w14:textId="2F6C1E86" w:rsidR="003812E4" w:rsidRPr="003812E4" w:rsidRDefault="002105E1" w:rsidP="002105E1">
            <w:r>
              <w:t>The patient can revoke a granted consent. Discontinue access when it is revoked or expires.</w:t>
            </w:r>
          </w:p>
          <w:p w14:paraId="39DF6801" w14:textId="6FE29A5D" w:rsidR="00981355" w:rsidRPr="00843E09" w:rsidRDefault="00981355" w:rsidP="009A0C46"/>
        </w:tc>
        <w:tc>
          <w:tcPr>
            <w:tcW w:w="2333" w:type="pct"/>
          </w:tcPr>
          <w:p w14:paraId="23394746" w14:textId="77777777" w:rsidR="00843E09" w:rsidRPr="00843E09" w:rsidRDefault="00843E09" w:rsidP="00843E09">
            <w:r w:rsidRPr="00843E09">
              <w:t>If the request is approved, the HIE-CM shares the consent artefact IDs generated for that request with the HIU.</w:t>
            </w:r>
          </w:p>
          <w:p w14:paraId="3122C3CE" w14:textId="77777777" w:rsidR="00981355" w:rsidRDefault="00843E09" w:rsidP="00843E09">
            <w:r w:rsidRPr="00843E09">
              <w:t>If the request is denied, the HIE-CM notifies the HIU that the consent request has been rejected.</w:t>
            </w:r>
          </w:p>
          <w:p w14:paraId="2F702CFE" w14:textId="77777777" w:rsidR="00A93F63" w:rsidRDefault="00A93F63" w:rsidP="00843E09"/>
          <w:p w14:paraId="6F1CD53B" w14:textId="77777777" w:rsidR="00A93F63" w:rsidRDefault="00A93F63" w:rsidP="00843E09"/>
          <w:p w14:paraId="3FE2CE72" w14:textId="02DFC76B" w:rsidR="00A93F63" w:rsidRPr="00A93F63" w:rsidRDefault="00A93F63" w:rsidP="00A93F63">
            <w:r w:rsidRPr="00A93F63">
              <w:t xml:space="preserve">A consent grant is valid for a specific period decided by the patient. </w:t>
            </w:r>
          </w:p>
          <w:p w14:paraId="7B16C0D4" w14:textId="28F99DEA" w:rsidR="00A93F63" w:rsidRPr="00A93F63" w:rsidRDefault="00A93F63" w:rsidP="00A93F63">
            <w:r w:rsidRPr="00A93F63">
              <w:t xml:space="preserve">One consent grant may generate multiple consent artefacts, so all consent artefact IDs should be stored. </w:t>
            </w:r>
          </w:p>
          <w:p w14:paraId="32F087EB" w14:textId="5437F6A4" w:rsidR="00A93F63" w:rsidRPr="00A93F63" w:rsidRDefault="00A93F63" w:rsidP="00A93F63">
            <w:r w:rsidRPr="00A93F63">
              <w:t>If the patient revokes consent or it expires, access to the health information must be stopped.</w:t>
            </w:r>
          </w:p>
          <w:p w14:paraId="4AA5BA1E" w14:textId="6770112F" w:rsidR="00A93F63" w:rsidRPr="009E75C6" w:rsidRDefault="00A93F63" w:rsidP="00843E09">
            <w:pPr>
              <w:rPr>
                <w:b/>
                <w:bCs/>
              </w:rPr>
            </w:pPr>
          </w:p>
        </w:tc>
      </w:tr>
      <w:tr w:rsidR="002105E1" w:rsidRPr="00161E1F" w14:paraId="496A1273" w14:textId="77777777" w:rsidTr="00290B92">
        <w:tc>
          <w:tcPr>
            <w:tcW w:w="765" w:type="pct"/>
          </w:tcPr>
          <w:p w14:paraId="7877AE13" w14:textId="77777777" w:rsidR="003266C6" w:rsidRPr="003266C6" w:rsidRDefault="003266C6" w:rsidP="003266C6">
            <w:pPr>
              <w:rPr>
                <w:b/>
                <w:bCs/>
              </w:rPr>
            </w:pPr>
            <w:r w:rsidRPr="003266C6">
              <w:rPr>
                <w:b/>
                <w:bCs/>
              </w:rPr>
              <w:lastRenderedPageBreak/>
              <w:t>Journey 3: fetching the records</w:t>
            </w:r>
          </w:p>
          <w:p w14:paraId="2C323265" w14:textId="77777777" w:rsidR="002105E1" w:rsidRPr="008F3FA0" w:rsidRDefault="002105E1" w:rsidP="008F3FA0">
            <w:pPr>
              <w:rPr>
                <w:b/>
                <w:bCs/>
              </w:rPr>
            </w:pPr>
          </w:p>
        </w:tc>
        <w:tc>
          <w:tcPr>
            <w:tcW w:w="1902" w:type="pct"/>
          </w:tcPr>
          <w:p w14:paraId="1CC412E7" w14:textId="00EB85E9" w:rsidR="002105E1" w:rsidRPr="00843E09" w:rsidRDefault="003C4D55" w:rsidP="009A0C46">
            <w:r w:rsidRPr="003C4D55">
              <w:t>With an artefact id you fetch the artefact, then ask for the data it covers. The data lands on the data push URL you supplied in that request.</w:t>
            </w:r>
          </w:p>
        </w:tc>
        <w:tc>
          <w:tcPr>
            <w:tcW w:w="2333" w:type="pct"/>
          </w:tcPr>
          <w:p w14:paraId="6315BE05" w14:textId="77777777" w:rsidR="00B576E2" w:rsidRDefault="00B576E2" w:rsidP="00B576E2">
            <w:r w:rsidRPr="00B576E2">
              <w:t>Using the consent artefact ID, the HIU fetches the consent artefact and requests the health information covered under that consent. The requested health data is then securely delivered to the data push URL provided by the HIU.</w:t>
            </w:r>
          </w:p>
          <w:p w14:paraId="76DAB03F" w14:textId="77777777" w:rsidR="00B576E2" w:rsidRDefault="00B576E2" w:rsidP="00B576E2"/>
          <w:p w14:paraId="591DC9A8" w14:textId="08B3053C" w:rsidR="00B576E2" w:rsidRPr="00B576E2" w:rsidRDefault="00301B86" w:rsidP="00B576E2">
            <w:r w:rsidRPr="00301B86">
              <w:t xml:space="preserve">Decrypt the data, then present it in a readable format. The key exchange is </w:t>
            </w:r>
            <w:hyperlink r:id="rId9" w:anchor="ecdh" w:history="1">
              <w:r w:rsidRPr="00301B86">
                <w:rPr>
                  <w:rStyle w:val="Hyperlink"/>
                  <w:b/>
                  <w:bCs/>
                </w:rPr>
                <w:t>ECDH</w:t>
              </w:r>
            </w:hyperlink>
            <w:r w:rsidRPr="00301B86">
              <w:t xml:space="preserve">, the same scheme the HIP uses in </w:t>
            </w:r>
            <w:hyperlink r:id="rId10" w:history="1">
              <w:r w:rsidRPr="00301B86">
                <w:rPr>
                  <w:rStyle w:val="Hyperlink"/>
                  <w:b/>
                  <w:bCs/>
                </w:rPr>
                <w:t>M2</w:t>
              </w:r>
            </w:hyperlink>
            <w:r w:rsidRPr="00301B86">
              <w:t>.</w:t>
            </w:r>
            <w:r>
              <w:t xml:space="preserve"> – </w:t>
            </w:r>
            <w:r w:rsidRPr="00301B86">
              <w:rPr>
                <w:b/>
                <w:bCs/>
              </w:rPr>
              <w:t>to be removed</w:t>
            </w:r>
          </w:p>
          <w:p w14:paraId="2915EE77" w14:textId="77777777" w:rsidR="002105E1" w:rsidRPr="00B576E2" w:rsidRDefault="002105E1" w:rsidP="00843E09"/>
        </w:tc>
      </w:tr>
    </w:tbl>
    <w:p w14:paraId="1A03C612" w14:textId="77777777" w:rsidR="001263D5" w:rsidRDefault="001263D5"/>
    <w:p w14:paraId="63FCC376" w14:textId="77777777" w:rsidR="00C402F2" w:rsidRDefault="00C402F2"/>
    <w:sectPr w:rsidR="00C402F2" w:rsidSect="00982F06">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0DBA"/>
    <w:multiLevelType w:val="hybridMultilevel"/>
    <w:tmpl w:val="E2F2E8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73524B"/>
    <w:multiLevelType w:val="multilevel"/>
    <w:tmpl w:val="9622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1748F2"/>
    <w:multiLevelType w:val="multilevel"/>
    <w:tmpl w:val="518C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743C7"/>
    <w:multiLevelType w:val="hybridMultilevel"/>
    <w:tmpl w:val="B6D220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1394D05"/>
    <w:multiLevelType w:val="multilevel"/>
    <w:tmpl w:val="00784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381AE9"/>
    <w:multiLevelType w:val="multilevel"/>
    <w:tmpl w:val="1130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8625159">
    <w:abstractNumId w:val="0"/>
  </w:num>
  <w:num w:numId="2" w16cid:durableId="1758331349">
    <w:abstractNumId w:val="4"/>
  </w:num>
  <w:num w:numId="3" w16cid:durableId="1963000549">
    <w:abstractNumId w:val="1"/>
  </w:num>
  <w:num w:numId="4" w16cid:durableId="78911180">
    <w:abstractNumId w:val="2"/>
  </w:num>
  <w:num w:numId="5" w16cid:durableId="85929703">
    <w:abstractNumId w:val="3"/>
  </w:num>
  <w:num w:numId="6" w16cid:durableId="10360767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E1F"/>
    <w:rsid w:val="00017880"/>
    <w:rsid w:val="000478B6"/>
    <w:rsid w:val="00053DBE"/>
    <w:rsid w:val="00063445"/>
    <w:rsid w:val="000B5679"/>
    <w:rsid w:val="000C515D"/>
    <w:rsid w:val="000D150A"/>
    <w:rsid w:val="000F376C"/>
    <w:rsid w:val="000F5B65"/>
    <w:rsid w:val="00116142"/>
    <w:rsid w:val="001262F7"/>
    <w:rsid w:val="001263D5"/>
    <w:rsid w:val="001403DA"/>
    <w:rsid w:val="00157C50"/>
    <w:rsid w:val="00161E1F"/>
    <w:rsid w:val="00165128"/>
    <w:rsid w:val="001832A5"/>
    <w:rsid w:val="001C1CA5"/>
    <w:rsid w:val="001E5E8A"/>
    <w:rsid w:val="002105E1"/>
    <w:rsid w:val="00260AF6"/>
    <w:rsid w:val="00274406"/>
    <w:rsid w:val="00274AC7"/>
    <w:rsid w:val="00290B92"/>
    <w:rsid w:val="00296B93"/>
    <w:rsid w:val="00297BA9"/>
    <w:rsid w:val="002F662D"/>
    <w:rsid w:val="00301B86"/>
    <w:rsid w:val="00315837"/>
    <w:rsid w:val="003266C6"/>
    <w:rsid w:val="00345761"/>
    <w:rsid w:val="003553AC"/>
    <w:rsid w:val="003577D1"/>
    <w:rsid w:val="003812E4"/>
    <w:rsid w:val="003A4A0B"/>
    <w:rsid w:val="003C4D55"/>
    <w:rsid w:val="00422B9F"/>
    <w:rsid w:val="0042354C"/>
    <w:rsid w:val="00425E9F"/>
    <w:rsid w:val="0045422F"/>
    <w:rsid w:val="00464BD1"/>
    <w:rsid w:val="0046541C"/>
    <w:rsid w:val="00494E45"/>
    <w:rsid w:val="004B4585"/>
    <w:rsid w:val="004C2F8E"/>
    <w:rsid w:val="00503754"/>
    <w:rsid w:val="00520920"/>
    <w:rsid w:val="005574E9"/>
    <w:rsid w:val="00557CD8"/>
    <w:rsid w:val="005B2138"/>
    <w:rsid w:val="005C55C0"/>
    <w:rsid w:val="005D0444"/>
    <w:rsid w:val="0062601E"/>
    <w:rsid w:val="00637985"/>
    <w:rsid w:val="00656726"/>
    <w:rsid w:val="006E739E"/>
    <w:rsid w:val="00745123"/>
    <w:rsid w:val="00747747"/>
    <w:rsid w:val="00753A0D"/>
    <w:rsid w:val="00763DA4"/>
    <w:rsid w:val="007C74FD"/>
    <w:rsid w:val="007E089C"/>
    <w:rsid w:val="007F0DD0"/>
    <w:rsid w:val="00802136"/>
    <w:rsid w:val="00843E09"/>
    <w:rsid w:val="00851D40"/>
    <w:rsid w:val="00867A74"/>
    <w:rsid w:val="008C56E6"/>
    <w:rsid w:val="008C586D"/>
    <w:rsid w:val="008F3FA0"/>
    <w:rsid w:val="009321AC"/>
    <w:rsid w:val="00981355"/>
    <w:rsid w:val="00982F06"/>
    <w:rsid w:val="0099376C"/>
    <w:rsid w:val="009A0C46"/>
    <w:rsid w:val="009B3262"/>
    <w:rsid w:val="009B7B40"/>
    <w:rsid w:val="009E75C6"/>
    <w:rsid w:val="009F7DB5"/>
    <w:rsid w:val="00A01E56"/>
    <w:rsid w:val="00A0453A"/>
    <w:rsid w:val="00A23620"/>
    <w:rsid w:val="00A32D2D"/>
    <w:rsid w:val="00A33C31"/>
    <w:rsid w:val="00A52D30"/>
    <w:rsid w:val="00A60A6A"/>
    <w:rsid w:val="00A93F63"/>
    <w:rsid w:val="00AC13A7"/>
    <w:rsid w:val="00AC186E"/>
    <w:rsid w:val="00AD0F04"/>
    <w:rsid w:val="00AE4D6F"/>
    <w:rsid w:val="00AF4FA3"/>
    <w:rsid w:val="00B37826"/>
    <w:rsid w:val="00B576E2"/>
    <w:rsid w:val="00B75203"/>
    <w:rsid w:val="00BA3207"/>
    <w:rsid w:val="00BC5A26"/>
    <w:rsid w:val="00C0489A"/>
    <w:rsid w:val="00C16C4F"/>
    <w:rsid w:val="00C31C7D"/>
    <w:rsid w:val="00C402F2"/>
    <w:rsid w:val="00C54610"/>
    <w:rsid w:val="00C7790E"/>
    <w:rsid w:val="00C91155"/>
    <w:rsid w:val="00C944F4"/>
    <w:rsid w:val="00CA334C"/>
    <w:rsid w:val="00CC1E80"/>
    <w:rsid w:val="00CF3AA2"/>
    <w:rsid w:val="00D004A0"/>
    <w:rsid w:val="00D0515D"/>
    <w:rsid w:val="00D373ED"/>
    <w:rsid w:val="00D60487"/>
    <w:rsid w:val="00D66CB7"/>
    <w:rsid w:val="00E05FB4"/>
    <w:rsid w:val="00E33A84"/>
    <w:rsid w:val="00E47C5A"/>
    <w:rsid w:val="00E5392D"/>
    <w:rsid w:val="00E64B1D"/>
    <w:rsid w:val="00E72F76"/>
    <w:rsid w:val="00E9733D"/>
    <w:rsid w:val="00ED1415"/>
    <w:rsid w:val="00EF08A2"/>
    <w:rsid w:val="00EF5CE4"/>
    <w:rsid w:val="00F16462"/>
    <w:rsid w:val="00F3240A"/>
    <w:rsid w:val="00F36C91"/>
    <w:rsid w:val="00F747A3"/>
    <w:rsid w:val="00F77F75"/>
    <w:rsid w:val="00FB52C1"/>
    <w:rsid w:val="00FC415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8D0AD"/>
  <w15:chartTrackingRefBased/>
  <w15:docId w15:val="{D9FB73AF-F108-4B86-9FFB-77FA60689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5E1"/>
  </w:style>
  <w:style w:type="paragraph" w:styleId="Heading1">
    <w:name w:val="heading 1"/>
    <w:basedOn w:val="Normal"/>
    <w:next w:val="Normal"/>
    <w:link w:val="Heading1Char"/>
    <w:uiPriority w:val="9"/>
    <w:qFormat/>
    <w:rsid w:val="00161E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E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E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E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E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E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E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E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E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E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E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E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E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E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E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E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E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E1F"/>
    <w:rPr>
      <w:rFonts w:eastAsiaTheme="majorEastAsia" w:cstheme="majorBidi"/>
      <w:color w:val="272727" w:themeColor="text1" w:themeTint="D8"/>
    </w:rPr>
  </w:style>
  <w:style w:type="paragraph" w:styleId="Title">
    <w:name w:val="Title"/>
    <w:basedOn w:val="Normal"/>
    <w:next w:val="Normal"/>
    <w:link w:val="TitleChar"/>
    <w:uiPriority w:val="10"/>
    <w:qFormat/>
    <w:rsid w:val="00161E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E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E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E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E1F"/>
    <w:pPr>
      <w:spacing w:before="160"/>
      <w:jc w:val="center"/>
    </w:pPr>
    <w:rPr>
      <w:i/>
      <w:iCs/>
      <w:color w:val="404040" w:themeColor="text1" w:themeTint="BF"/>
    </w:rPr>
  </w:style>
  <w:style w:type="character" w:customStyle="1" w:styleId="QuoteChar">
    <w:name w:val="Quote Char"/>
    <w:basedOn w:val="DefaultParagraphFont"/>
    <w:link w:val="Quote"/>
    <w:uiPriority w:val="29"/>
    <w:rsid w:val="00161E1F"/>
    <w:rPr>
      <w:i/>
      <w:iCs/>
      <w:color w:val="404040" w:themeColor="text1" w:themeTint="BF"/>
    </w:rPr>
  </w:style>
  <w:style w:type="paragraph" w:styleId="ListParagraph">
    <w:name w:val="List Paragraph"/>
    <w:basedOn w:val="Normal"/>
    <w:uiPriority w:val="34"/>
    <w:qFormat/>
    <w:rsid w:val="00161E1F"/>
    <w:pPr>
      <w:ind w:left="720"/>
      <w:contextualSpacing/>
    </w:pPr>
  </w:style>
  <w:style w:type="character" w:styleId="IntenseEmphasis">
    <w:name w:val="Intense Emphasis"/>
    <w:basedOn w:val="DefaultParagraphFont"/>
    <w:uiPriority w:val="21"/>
    <w:qFormat/>
    <w:rsid w:val="00161E1F"/>
    <w:rPr>
      <w:i/>
      <w:iCs/>
      <w:color w:val="0F4761" w:themeColor="accent1" w:themeShade="BF"/>
    </w:rPr>
  </w:style>
  <w:style w:type="paragraph" w:styleId="IntenseQuote">
    <w:name w:val="Intense Quote"/>
    <w:basedOn w:val="Normal"/>
    <w:next w:val="Normal"/>
    <w:link w:val="IntenseQuoteChar"/>
    <w:uiPriority w:val="30"/>
    <w:qFormat/>
    <w:rsid w:val="00161E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E1F"/>
    <w:rPr>
      <w:i/>
      <w:iCs/>
      <w:color w:val="0F4761" w:themeColor="accent1" w:themeShade="BF"/>
    </w:rPr>
  </w:style>
  <w:style w:type="character" w:styleId="IntenseReference">
    <w:name w:val="Intense Reference"/>
    <w:basedOn w:val="DefaultParagraphFont"/>
    <w:uiPriority w:val="32"/>
    <w:qFormat/>
    <w:rsid w:val="00161E1F"/>
    <w:rPr>
      <w:b/>
      <w:bCs/>
      <w:smallCaps/>
      <w:color w:val="0F4761" w:themeColor="accent1" w:themeShade="BF"/>
      <w:spacing w:val="5"/>
    </w:rPr>
  </w:style>
  <w:style w:type="table" w:styleId="TableGrid">
    <w:name w:val="Table Grid"/>
    <w:basedOn w:val="TableNormal"/>
    <w:uiPriority w:val="39"/>
    <w:rsid w:val="00161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402F2"/>
    <w:rPr>
      <w:color w:val="467886" w:themeColor="hyperlink"/>
      <w:u w:val="single"/>
    </w:rPr>
  </w:style>
  <w:style w:type="character" w:styleId="UnresolvedMention">
    <w:name w:val="Unresolved Mention"/>
    <w:basedOn w:val="DefaultParagraphFont"/>
    <w:uiPriority w:val="99"/>
    <w:semiHidden/>
    <w:unhideWhenUsed/>
    <w:rsid w:val="00C402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cs.abdm.gov.in/docs/hiecm/v3/milestones/m2" TargetMode="External"/><Relationship Id="rId3" Type="http://schemas.openxmlformats.org/officeDocument/2006/relationships/styles" Target="styles.xml"/><Relationship Id="rId7" Type="http://schemas.openxmlformats.org/officeDocument/2006/relationships/hyperlink" Target="https://docs.abdm.gov.in/docs/hiecm/v3/getting-started/glossary"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abdm.gov.in/docs/hiecm/v3/getting-started/glossary"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cs.abdm.gov.in/docs/hiecm/v3/milestones/m2" TargetMode="External"/><Relationship Id="rId4" Type="http://schemas.openxmlformats.org/officeDocument/2006/relationships/settings" Target="settings.xml"/><Relationship Id="rId9" Type="http://schemas.openxmlformats.org/officeDocument/2006/relationships/hyperlink" Target="https://docs.abdm.gov.in/docs/hiecm/v3/getting-started/gloss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D8CE7E-B1A8-479B-B9F3-B4543347D5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1279</Words>
  <Characters>7028</Characters>
  <Application>Microsoft Office Word</Application>
  <DocSecurity>0</DocSecurity>
  <Lines>234</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8226</CharactersWithSpaces>
  <SharedDoc>false</SharedDoc>
  <HLinks>
    <vt:vector size="30" baseType="variant">
      <vt:variant>
        <vt:i4>5373980</vt:i4>
      </vt:variant>
      <vt:variant>
        <vt:i4>12</vt:i4>
      </vt:variant>
      <vt:variant>
        <vt:i4>0</vt:i4>
      </vt:variant>
      <vt:variant>
        <vt:i4>5</vt:i4>
      </vt:variant>
      <vt:variant>
        <vt:lpwstr>https://docs.abdm.gov.in/docs/hiecm/v3/milestones/m2</vt:lpwstr>
      </vt:variant>
      <vt:variant>
        <vt:lpwstr/>
      </vt:variant>
      <vt:variant>
        <vt:i4>2752629</vt:i4>
      </vt:variant>
      <vt:variant>
        <vt:i4>9</vt:i4>
      </vt:variant>
      <vt:variant>
        <vt:i4>0</vt:i4>
      </vt:variant>
      <vt:variant>
        <vt:i4>5</vt:i4>
      </vt:variant>
      <vt:variant>
        <vt:lpwstr>https://docs.abdm.gov.in/docs/hiecm/v3/getting-started/glossary</vt:lpwstr>
      </vt:variant>
      <vt:variant>
        <vt:lpwstr>ecdh</vt:lpwstr>
      </vt:variant>
      <vt:variant>
        <vt:i4>5373980</vt:i4>
      </vt:variant>
      <vt:variant>
        <vt:i4>6</vt:i4>
      </vt:variant>
      <vt:variant>
        <vt:i4>0</vt:i4>
      </vt:variant>
      <vt:variant>
        <vt:i4>5</vt:i4>
      </vt:variant>
      <vt:variant>
        <vt:lpwstr>https://docs.abdm.gov.in/docs/hiecm/v3/milestones/m2</vt:lpwstr>
      </vt:variant>
      <vt:variant>
        <vt:lpwstr/>
      </vt:variant>
      <vt:variant>
        <vt:i4>4718620</vt:i4>
      </vt:variant>
      <vt:variant>
        <vt:i4>3</vt:i4>
      </vt:variant>
      <vt:variant>
        <vt:i4>0</vt:i4>
      </vt:variant>
      <vt:variant>
        <vt:i4>5</vt:i4>
      </vt:variant>
      <vt:variant>
        <vt:lpwstr>https://docs.abdm.gov.in/docs/hiecm/v3/getting-started/glossary</vt:lpwstr>
      </vt:variant>
      <vt:variant>
        <vt:lpwstr>hip</vt:lpwstr>
      </vt:variant>
      <vt:variant>
        <vt:i4>3211317</vt:i4>
      </vt:variant>
      <vt:variant>
        <vt:i4>0</vt:i4>
      </vt:variant>
      <vt:variant>
        <vt:i4>0</vt:i4>
      </vt:variant>
      <vt:variant>
        <vt:i4>5</vt:i4>
      </vt:variant>
      <vt:variant>
        <vt:lpwstr>https://docs.abdm.gov.in/docs/hiecm/v3/getting-started/glossary</vt:lpwstr>
      </vt:variant>
      <vt:variant>
        <vt:lpwstr>abha-address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dc:creator>
  <cp:keywords/>
  <dc:description/>
  <cp:lastModifiedBy>NHA</cp:lastModifiedBy>
  <cp:revision>2</cp:revision>
  <dcterms:created xsi:type="dcterms:W3CDTF">2026-09-21T13:39:00Z</dcterms:created>
  <dcterms:modified xsi:type="dcterms:W3CDTF">2026-09-21T13:39:00Z</dcterms:modified>
</cp:coreProperties>
</file>