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" w:hAnsi="Helvetica" w:cs="Helvetica"/>
          <w:sz w:val="42"/>
          <w:sz-cs w:val="42"/>
          <w:b/>
          <w:spacing w:val="0"/>
        </w:rPr>
        <w:t xml:space="preserve">ABDM Sandbox v2 — Proposal Summary</w:t>
      </w:r>
    </w:p>
    <w:p>
      <w:pPr>
        <w:spacing w:after="266"/>
      </w:pPr>
      <w:r>
        <w:rPr>
          <w:rFonts w:ascii="Helvetica" w:hAnsi="Helvetica" w:cs="Helvetica"/>
          <w:sz w:val="26"/>
          <w:sz-cs w:val="26"/>
          <w:b/>
          <w:spacing w:val="0"/>
          <w:color w:val="262626"/>
        </w:rPr>
        <w:t xml:space="preserve">For:</w:t>
      </w: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 CTO review  ·  </w:t>
      </w:r>
      <w:r>
        <w:rPr>
          <w:rFonts w:ascii="Helvetica" w:hAnsi="Helvetica" w:cs="Helvetica"/>
          <w:sz w:val="26"/>
          <w:sz-cs w:val="26"/>
          <w:b/>
          <w:spacing w:val="0"/>
          <w:color w:val="262626"/>
        </w:rPr>
        <w:t xml:space="preserve">From:</w:t>
      </w: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 Platform team  ·  </w:t>
      </w:r>
      <w:r>
        <w:rPr>
          <w:rFonts w:ascii="Helvetica" w:hAnsi="Helvetica" w:cs="Helvetica"/>
          <w:sz w:val="26"/>
          <w:sz-cs w:val="26"/>
          <w:b/>
          <w:spacing w:val="0"/>
          <w:color w:val="262626"/>
        </w:rPr>
        <w:t xml:space="preserve">Date:</w:t>
      </w: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 25 Aug 2026  ·  </w:t>
      </w:r>
      <w:r>
        <w:rPr>
          <w:rFonts w:ascii="Helvetica" w:hAnsi="Helvetica" w:cs="Helvetica"/>
          <w:sz w:val="26"/>
          <w:sz-cs w:val="26"/>
          <w:b/>
          <w:spacing w:val="0"/>
          <w:color w:val="262626"/>
        </w:rPr>
        <w:t xml:space="preserve">Ask:</w:t>
      </w:r>
      <w:r>
        <w:rPr>
          <w:rFonts w:ascii="Helvetica" w:hAnsi="Helvetica" w:cs="Helvetica"/>
          <w:sz w:val="26"/>
          <w:sz-cs w:val="26"/>
          <w:spacing w:val="0"/>
          <w:color w:val="262626"/>
        </w:rPr>
        <w:t xml:space="preserve"> approval to start build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Why a rewrite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Committed to git: production DB passwords, an RSA private key, a signing keystore, a login bypass password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Developer "local" profile points at the production database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MD5 password hashing; effectively every API route publicly accessible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Frontend toolchain end-of-life; test suites don't compile; no CI; no schema migration tooling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Core logic in 1,400–2,300 line classes with SQL embedded in string constants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All findings verified line-by-line in a code audit — patching in place costs more than rebuilding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git history contains secrets and can never be made public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Direction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One Django application serving server-rendered HTML; replaces two codebases (Spring Boot backend + React SPA)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product is forms, tables, review queues and dashboards; an SPA adds cost and is the source of today's client-side security problems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Interactivity via htmx partials; every action still works as a plain form post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Five enrollment tracks (core sandbox, HCX, NHCX, UHI, HIU) collapse into one application model, one review workflow (approval quorum configurable per environment), one audited state machine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Ecosystem provisioning becomes idempotent background jobs with a ledger, automatic deprovisioning on rejection/exit, and drift detection — failures are visible and retryable, not silently swallowed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New capabilities (absent today)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Conformance service: executable test packs per milestone; a passing run becomes exit evidence, replacing self-declaration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Hosted reference environment: an ABDM-enabled Care HMIS instance as test counterparty; same stack runs locally with one docker command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Agent Skills: versioned, installable packs for integrators' own coding tools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In-portal support desk with response SLAs (today: email threads and an external site)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Guided "next action" tracker targeting a ten-working-day sandbox journey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Stack and tooling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Python 3.13 / Django 5 · htmx + Tailwind (no JS framework) · Postgres 16 · Redis · Celery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Auth: django-allauth with mandatory MFA for staff; Keycloak scoped to integrator machine credentials only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Engineering: uv, ruff, mypy, pytest, Playwright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CI: GitHub Actions with gitleaks (secret scanning) and Trivy (image/dependency scanning) as merge gates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Runtime: Docker behind Traefik; Sentry, OpenTelemetry, Prometheus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Local development fully offline: docker compose + seeded demo data, no VPN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Kept and dropped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Kept (ecosystem dependencies): Keycloak, WSO2 API Manager, HIE-CM gateway, notification gateway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Dropped: Strapi and Meilisearch — content and search move into the application; one-time content import at cutover, then both decommissioned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Dropped: Kafka — the audit topic has no consumer and its events carry no usable data; replaced by an append-only audit table covering every workflow transition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New repository — the old history cannot be scrubbed safely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Delivery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Six phases: foundation/CI → domain + enrollment → workflow + reviews → integrations + provisioning → reporting/content/support → hardening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Written exit criteria per phase; every screen ships with an authorization test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Pen test and a 10,000-application load test before launch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The two large additions (conformance, assistant) are feature-flagged and cannot block launch</w:t>
      </w:r>
    </w:p>
    <w:p>
      <w:pPr>
        <w:spacing w:after="106"/>
      </w:pPr>
      <w:r>
        <w:rPr>
          <w:rFonts w:ascii="Helvetica" w:hAnsi="Helvetica" w:cs="Helvetica"/>
          <w:sz w:val="33"/>
          <w:sz-cs w:val="33"/>
          <w:b/>
          <w:spacing w:val="0"/>
        </w:rPr>
        <w:t xml:space="preserve">Decisions needed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v1 data: migrate existing applications or re-enroll integrators — needed before phase 5</w:t>
      </w:r>
    </w:p>
    <w:p>
      <w:pPr>
        <w:ind w:left="720" w:first-line="-720"/>
        <w:spacing w:after="53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AI assistant hosting: managed API or self-hosted model, given government data constraints — feature-flagged, can ship without it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